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Glastonbury Festival Promotes Eco-Friendly Travel as Attendance Nears 200,000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Glastonbury Festival Prepares for Influx and Urges Eco-Friendly Travel</w:t>
      </w:r>
    </w:p>
    <w:p>
      <w:r>
        <w:t>Glastonbury Festival is poised to welcome around 200,000 attendees to Worthy Farm in Somerset within the coming days. Organisers emphasize eco-friendly travel options and have introduced a carbon calculator to help festival-goers compare transport emissions.</w:t>
      </w:r>
    </w:p>
    <w:p>
      <w:pPr>
        <w:pStyle w:val="Heading3"/>
      </w:pPr>
      <w:r>
        <w:t>UK and Malaysian Companies Partner to Enhance Public Transport Access</w:t>
      </w:r>
    </w:p>
    <w:p>
      <w:r>
        <w:t>At MOVE London 2024, UK tech firm Journey Alerts and Malaysian company Asia Mobiliti unveiled their collaboration aimed at improving public transport access for millions in low and middle-income countries. The partnership utilizes a quick-to-deploy platform to integrate Demand-Responsive Transit, passenger intent mapping, and personalized journey information.</w:t>
      </w:r>
    </w:p>
    <w:p>
      <w:r>
        <w:t>Notably, the service eschews traditional transport apps, instead using popular messaging channels such as WhatsApp, Messenger, and Viber to reach users. This initiative follows a successful project in Kuala Lumpur and will soon expand to regions including Indonesia, Africa, eastern Europe, and South America.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