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Infrastructure Developments Shaping Bristol's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Infrastructure Updates in Bristol</w:t>
      </w:r>
    </w:p>
    <w:p>
      <w:r>
        <w:rPr>
          <w:b/>
        </w:rPr>
        <w:t>Temple Island Development Project</w:t>
      </w:r>
    </w:p>
    <w:p>
      <w:r>
        <w:t>Bristol City Council has received a series of planning applications, including a significant one for infrastructure work on Temple Island. Legal and General plans a massive development on the site, which includes 500 homes, office spaces, a hotel, and a conference center. Preparatory works involve installing a new surface water outfall, extending the road from Brocks Bridge, and adding utility pipes and drainage. This site, previously a rail diesel depot, has been empty since the mid-1990s.</w:t>
      </w:r>
    </w:p>
    <w:p>
      <w:r>
        <w:rPr>
          <w:b/>
        </w:rPr>
        <w:t>Cabot Circus Restaurant Canopy</w:t>
      </w:r>
    </w:p>
    <w:p>
      <w:r>
        <w:t>Wagamama in Cabot Circus has applied to install a retractable fabric canopy over its outdoor seating area for improved customer experience. The canopy will include integrated LED lighting, heaters, and glazed sliding windows.</w:t>
      </w:r>
    </w:p>
    <w:p>
      <w:r>
        <w:rPr>
          <w:b/>
        </w:rPr>
        <w:t>Clifton Community Garden</w:t>
      </w:r>
    </w:p>
    <w:p>
      <w:r>
        <w:t>A proposal has been submitted to transform a car park in Clifton into a community garden with 44 raised planter beds for food and wildflowers. This initiative, led by the Clifton Down Community Association, aims to increase local food production temporarily, as the site is designated for future residential development.</w:t>
      </w:r>
    </w:p>
    <w:p>
      <w:r>
        <w:t>Detailed information about these applications can be found on the Bristol City Council planning portal.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