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Scottish Government Stresses Privacy Protection for Transgender Prisoners Amid UN Concerns</w:t>
      </w:r>
    </w:p>
    <w:p>
      <w:r/>
    </w:p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The Scottish Government has emphasized the importance of safeguarding the privacy of transgender prisoners by avoiding public identification to prevent potentially harmful consequences. This stance arises from concerns highlighted by a United Nations report involving discussions with Scottish National Party (SNP) officials.</w:t>
      </w:r>
    </w:p>
    <w:p>
      <w:r>
        <w:t>The report follows the controversy surrounding transgender rapist Isla Bryson, who was initially sent to a women's prison in January 2023 after being convicted of rape while living as a man. Bryson, known as Adam Graham at the time of the offenses in 2016 and 2019, was later transferred to a male prison amidst public outcry.</w:t>
      </w:r>
    </w:p>
    <w:p>
      <w:r>
        <w:t>Further privacy concerns were underscored in the case of Andrew Miller, a transgender butcher known as Amy George, who was jailed for 20 years in October 2022 for abducting and assaulting a schoolgirl. Unlike Bryson, Miller was not considered for placement in a women’s prison due to revised rules following Bryson's case.</w:t>
      </w:r>
    </w:p>
    <w:p>
      <w:r>
        <w:t xml:space="preserve">The issue has sparked significant political disagreement in Scotland. Sharon Dowey, the Scottish Conservative deputy justice spokesperson, criticized the SNP for prioritizing the needs of criminals over victims. </w:t>
      </w:r>
    </w:p>
    <w:p>
      <w:r>
        <w:t>A Scottish Government spokesperson reaffirmed their commitment to protecting personal information of prisoners in line with data protection laws, mentioning the Scottish Prison Service's publication of a new transgender policy since the UN visit in May 2023.</w:t>
      </w:r>
    </w:p>
    <w:p>
      <w:r>
        <w:t>The UN Independent Expert on Sexual Orientation and Gender Identity, Victor-Madrigal Borloz, visited Scotland and noted the specific risks to the privacy of transgender prisoners due to public debates in media and parliament, stressing adherence to good practice and guidelines.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