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Queensland government postpones anti-discrimination reforms, impacting teachers in faith-based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Queensland government has decided to shelve its planned anti-discrimination reforms intended to protect various groups from discrimination. This decision affects teachers in faith-based schools who could face discrimination based on their sexuality, pregnancy, relationship status, or gender identity. The proposed laws, aiming to amend the 33-year-old Anti-Discrimination Act, faced opposition from religious organizations and were not enacted before the upcoming state election.</w:t>
      </w:r>
    </w:p>
    <w:p>
      <w:r>
        <w:t>Advocates expressed concern that delaying these reforms puts vulnerable individuals, including women fleeing domestic violence, people with disabilities, and the LGBTQ+ community, at continued risk of discrimination. The attorney general, Yvette D'Ath, emphasized the need for further work to ensure consistency with federal approaches.</w:t>
      </w:r>
    </w:p>
    <w:p>
      <w:r>
        <w:t>Critics argue that the delay will lead to fragmented protections and leave current discriminatory practices unaddressed. Despite government assurances of commitment to future reforms, the uncertainty poses potential risks for those awaiting these critical legislative changes.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