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Transgender Inmate Accused of Rapes Sparks Debate Over California's Prison System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August 2021, Tremaine Carroll, a 51-year-old transgender inmate, was transferred to Central California Women's Facility (CCWF) after declaring he did not pose a risk to women. Carroll is now facing trial for allegedly raping two female inmates at the facility. The case reveals complexities within California’s prison system, exacerbated by the implementation of Senate Bill 132, which allows inmates to be housed based on their gender identity.</w:t>
      </w:r>
    </w:p>
    <w:p>
      <w:r>
        <w:t>Dr. Jack Miller, a former prison psychologist, claims Carroll manipulated the system for personal gain and should not have been moved to a women's prison. Miller's account depicts a broader issue where crafty inmates exploit regulations to secure more favorable conditions. Carroll, originally convicted under California’s three-strikes law, was transferred back to Kern Valley State Prison, a maximum-security all-male facility, after rape allegations surfaced.</w:t>
      </w:r>
    </w:p>
    <w:p>
      <w:r>
        <w:t>The case has prompted scrutiny of SB 132, with critics arguing that it enables male inmates to transfer to women's prisons, potentially endangering female inmates. Advocates, however, maintain that trans inmates face their own set of vulnerabilities and the policy aims to enhance their safety. According to the California Department of Corrections and Rehabilitation, 46 out of 345 transfer requests from male inmates to women’s facilities have been approved since the law's enactment.</w:t>
      </w:r>
    </w:p>
    <w:p>
      <w:r>
        <w:t>Carroll is scheduled for a preliminary hearing on July 8 in Madera Superior Court. The debate continues over the balance between protecting transgender inmates and safeguarding female prisoners in correctional facilities.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