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Rudy Giuliani Faces Legal Turmoil Over 2020 Election Involvement and Financial Woes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New York City Mayor Rudy Giuliani, who served as an attorney for former President Donald Trump, found himself amid legal turmoil in June 2024. On June 10, Giuliani's mug shot was taken at an Arizona courthouse after being indicted for his alleged role in attempting to overturn the 2020 election results. This indictment follows an accusation that Giuliani pressured Arizona officials and encouraged Republican electors to vote for Trump despite President Joe Biden's victory.</w:t>
      </w:r>
    </w:p>
    <w:p>
      <w:r>
        <w:t>An Arizona grand jury had charged Giuliani and 16 other Trump allies in May. Giuliani faces similar charges in Georgia, where a grand jury accused him of trying to compel state lawmakers to appoint pro-Trump electors illegally. Giuliani pleaded not guilty in both cases.</w:t>
      </w:r>
    </w:p>
    <w:p>
      <w:r>
        <w:t>Additionally, Giuliani has faced significant financial stress, filing for bankruptcy in December 2023 due to mounting debts, including a $148 million judgment in a defamation case involving two Georgia election workers. His financial woes were further exacerbated by accusations of dishonesty and fraudulent financial practices by creditors, leading to a dispute over appointing a bankruptcy trustee.</w:t>
      </w:r>
    </w:p>
    <w:p>
      <w:r>
        <w:t>Simultaneously, Giuliani's legal and financial troubles are compounded by claims from his lawyers about a possible lung disease related to his work during the 9/11 attacks. Despite these challenges, Giuliani remains unrepentant, asserting his pride in his actions regarding the 2020 election and dismissing his legal battles as part of efforts to undermine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