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 activist to use Northern Ireland to bypass GB puberty blocker ban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unfolding narrative that underscores the complexities of healthcare legislation, a trailblazing transgender rights activist has unveiled plans to leverage Northern Ireland’s legislative position to circumvent the UK mainland's ban on puberty blockers. This development emerges shortly after the Labour government took steps to extend a ban initially imposed by the Conservative government in March, with the ruling recently upheld by the High Court.</w:t>
      </w:r>
    </w:p>
    <w:p>
      <w:r>
        <w:t>Northern Ireland diverges sharply from the UK mainland’s stance on puberty blockers. The Department of Health in Northern Ireland confirms that these medications remain legal, reflecting the region's unique legislative framework that necessitates executive consensus to implement such a ban. This legislative discrepancy potentially opens a "back door" for the drugs to Britain, a point highlighted by various stakeholders.</w:t>
      </w:r>
    </w:p>
    <w:p>
      <w:r>
        <w:t>Puberty blockers are prescribed to children diagnosed with gender dysphoria, a condition marked by profound discomfort with one’s assigned gender. Advocates assert that these medications are paramount, allowing children the necessary time to explore their gender identity without the compounded stress of puberty-induced physical changes—a point echoed by Sinn Féin MLA Emma Sheerin, who has previously described these drugs as "normal healthcare."</w:t>
      </w:r>
    </w:p>
    <w:p>
      <w:r>
        <w:t>Conversely, this stance faces staunch opposition from other political entities. DUP MP Carla Lockhart has vehemently criticized the decision not to extend the ban to Northern Ireland, denouncing it as a "U Turn" and expressing her dismay at the continued legality of the drugs in the region.</w:t>
      </w:r>
    </w:p>
    <w:p>
      <w:r>
        <w:t>The activist’s pronouncement, aiming to exploit Northern Ireland’s legal position, rekindles the debate amongst proponents and critics alike. Transgender advocates argue for the broad availability of puberty blockers across both public and private healthcare sectors throughout the UK. Meanwhile, gender-critical campaigners voice concerns regarding the long-term health impacts of these medications on children.</w:t>
      </w:r>
    </w:p>
    <w:p>
      <w:r>
        <w:t>The broader implications of this legal divergence are yet to be fully discerned. There remain unanswered questions about the transportation and regulation of these drugs, and potential ethical and medical repercussions.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