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Challenges and Progress in Global LGBT+ Rights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Despite significant advancements in some regions, LGBT+ rights remain unrecognized across many parts of the world. Same-sex relationships are now legal in two-thirds of the 202 countries studied, representing a notable increase since the 20th century. However, same-sex marriage, adoption rights, gender marker changes, and third-gender recognition are still not widely accepted.</w:t>
      </w:r>
    </w:p>
    <w:p>
      <w:r>
        <w:t>Since the 1990s, countries like Estonia, Canada, and the Netherlands have led in implementing progressive laws, including unrestricted gender marker changes, joint adoptions, and the legalization of same-sex marriage. Australia was the pioneer in recognizing a non-binary gender on passports in 2011, followed by other nations, enhancing validation for non-binary and intersex individuals.</w:t>
      </w:r>
    </w:p>
    <w:p>
      <w:r>
        <w:t>Despite these strides, the majority of countries do not offer comprehensive protection for LGBT+ rights, and some have even enacted regressive policies. As of 2019, 37 countries explicitly banned same-sex marriage, predominantly in Eastern Europe and Sub-Saharan Africa. Increasing legislation against "propaganda for non-traditional sexual relations" and the re-imposition of the death penalty for same-sex acts in certain areas highlight the ongoing polarization of LGBT+ rights.</w:t>
      </w:r>
    </w:p>
    <w:p>
      <w:r>
        <w:t>Overall, while there is a trend towards greater acceptance and legal recognition, the path to equal rights for LGBT+ people worldwide remains fraught with challenges.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