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Scotland's Conversion Practices Ban Faces an Early Lobbying Test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Campaigners are renewing calls for a comprehensive conversion practices ban in Scotland, while opponents are organising before any bill has been published. With religious groups already speaking to MSPs and political parties restating their support, the debate is becoming a test of how Scotland can protect LGBT+ people from harm while shaping legislation that addresses concerns about individual freedoms.</w:t>
      </w:r>
      <w:r/>
    </w:p>
    <w:p>
      <w:pPr>
        <w:pStyle w:val="Heading2"/>
      </w:pPr>
      <w:r>
        <w:t>The campaign is gathering pace before a bill appears</w:t>
      </w:r>
      <w:r/>
    </w:p>
    <w:p>
      <w:r/>
      <w:r>
        <w:t>The political lines are forming early. A motion backing a comprehensive ban passed at the SNP conference without anyone speaking against it, but a new pressure group has also emerged to challenge proposed legislation. That contrast captures the debate's uneasy mix of momentum and uncertainty. (The National; Scottish Parliament motion)【2】【5】</w:t>
      </w:r>
      <w:r/>
    </w:p>
    <w:p>
      <w:r/>
      <w:r>
        <w:t>The Scottish Government shelved its earlier commitment to bring forward a ban in 2024, saying a UK-wide approach would be preferable. Yet draft UK legislation published this year covers England and Wales, not Scotland, while campaigners say the wait has gone on long enough. (The National; Scottish Government FOI response)【2】【6】</w:t>
      </w:r>
      <w:r/>
    </w:p>
    <w:p>
      <w:pPr>
        <w:pStyle w:val="Heading2"/>
      </w:pPr>
      <w:r>
        <w:t>Why is the legislation still uncertain?</w:t>
      </w:r>
      <w:r/>
    </w:p>
    <w:p>
      <w:r/>
      <w:r>
        <w:t>Scotland's expert advisory group has made recommendations on ending conversion practices, providing a basis for further policy work. But recommendations aren't the same as a bill: the scope, safeguards and route through Parliament still need to be set out. (Scottish Government expert advisory group report; Scottish Parliament research briefing)【7】【3】</w:t>
      </w:r>
      <w:r/>
    </w:p>
    <w:p>
      <w:r/>
      <w:r>
        <w:t>John Swinney has pledged to introduce legislation within the first year of the new parliamentary term, according to The National. That promise puts pressure on the government to show what a Scottish approach might look like, especially after the UK proposals left Scotland out. (The National; Scottish Parliament research briefing)【2】【3】</w:t>
      </w:r>
      <w:r/>
    </w:p>
    <w:p>
      <w:pPr>
        <w:pStyle w:val="Heading2"/>
      </w:pPr>
      <w:r>
        <w:t>Lobbying shows the argument is already widening</w:t>
      </w:r>
      <w:r/>
    </w:p>
    <w:p>
      <w:r/>
      <w:r>
        <w:t>The National reports that the Bishops' Conference of Scotland, the Christian Institute and CARE for Scotland have held at least 21 discussions with MSPs since the Holyrood election. Those conversations involved politicians from several parties, and some addressed a potential conversion practices ban directly. (The National)【2】</w:t>
      </w:r>
      <w:r/>
    </w:p>
    <w:p>
      <w:r/>
      <w:r>
        <w:t>A new group, Protect All Freedoms, says its focus is free speech, religious liberty, family life and personal autonomy. Its founder, councillor James Bundy, has also said people must be protected from abuse and coercion, while arguing that protections should not undermine fundamental freedoms. (The National)【2】</w:t>
      </w:r>
      <w:r/>
    </w:p>
    <w:p>
      <w:pPr>
        <w:pStyle w:val="Heading2"/>
      </w:pPr>
      <w:r>
        <w:t>What should readers look for in a proposed ban?</w:t>
      </w:r>
      <w:r/>
    </w:p>
    <w:p>
      <w:r/>
      <w:r>
        <w:t>The practical test will be in the detail. Readers should watch for how a bill defines conversion practices, what conduct it covers, and how it distinguishes harmful coercion from ordinary conversations about faith, identity or wellbeing. The parliamentary research briefing and expert group report offer useful starting points for understanding the policy questions. (Scottish Parliament research briefing; Scottish Government expert advisory group report)【3】【7】</w:t>
      </w:r>
      <w:r/>
    </w:p>
    <w:p>
      <w:r/>
      <w:r>
        <w:t>It's also worth separating discussion of a proposal from the legislation itself. Until a bill is published, its wording and safeguards remain unsettled; the next clear signs will be a formal government plan and parliamentary scrutiny of its provisions. (The National; Scottish Parliament research briefing)【2】【3】</w:t>
      </w:r>
      <w:r/>
    </w:p>
    <w:p>
      <w:pPr>
        <w:pStyle w:val="Heading2"/>
      </w:pPr>
      <w:r>
        <w:t>The next test is turning promises into policy</w:t>
      </w:r>
      <w:r/>
    </w:p>
    <w:p>
      <w:r/>
      <w:r>
        <w:t>For supporters of a ban, the central concern is that people should be protected from practices that cause harm. For opponents, the question is how to achieve that without restricting legitimate freedoms. Those aims will need more than slogans to sit comfortably together; the wording of any bill will matter. (The National; Scottish Government expert advisory group report)【2】【7】</w:t>
      </w:r>
      <w:r/>
    </w:p>
    <w:p>
      <w:r/>
      <w:r>
        <w:t>The issue now is whether Scotland's government can move from renewed political commitments to legislation that is both comprehensive and clear. Until the details arrive, campaigners and critics alike are preparing for a debate that could shape protections for years to come. (The National; Scottish Parliament research briefing)【2】【3】</w:t>
      </w:r>
      <w:r/>
    </w:p>
    <w:p>
      <w:r/>
      <w:r>
        <w:t>A clear bill, with protections that work in practice, is the next step to watch.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12">
        <w:r>
          <w:rPr>
            <w:color w:val="0000EE"/>
            <w:u w:val="single"/>
          </w:rPr>
          <w:t>[7]</w:t>
        </w:r>
      </w:hyperlink>
      <w:r>
        <w:t xml:space="preserve">, </w:t>
      </w:r>
      <w:hyperlink r:id="rId13">
        <w:r>
          <w:rPr>
            <w:color w:val="0000EE"/>
            <w:u w:val="single"/>
          </w:rPr>
          <w:t>[3]</w:t>
        </w:r>
      </w:hyperlink>
      <w:r>
        <w:t xml:space="preserve">- Paragraph 4: </w:t>
      </w:r>
      <w:hyperlink r:id="rId9">
        <w:r>
          <w:rPr>
            <w:color w:val="0000EE"/>
            <w:u w:val="single"/>
          </w:rPr>
          <w:t>[2]</w:t>
        </w:r>
      </w:hyperlink>
      <w:r>
        <w:t xml:space="preserve">, </w:t>
      </w:r>
      <w:hyperlink r:id="rId13">
        <w:r>
          <w:rPr>
            <w:color w:val="0000EE"/>
            <w:u w:val="single"/>
          </w:rPr>
          <w:t>[3]</w:t>
        </w:r>
      </w:hyperlink>
      <w:r>
        <w:t xml:space="preserve">- Paragraph 5: </w:t>
      </w:r>
      <w:hyperlink r:id="rId9">
        <w:r>
          <w:rPr>
            <w:color w:val="0000EE"/>
            <w:u w:val="single"/>
          </w:rPr>
          <w:t>[2]</w:t>
        </w:r>
      </w:hyperlink>
      <w:r>
        <w:t xml:space="preserve">- Paragraph 6: </w:t>
      </w:r>
      <w:hyperlink r:id="rId13">
        <w:r>
          <w:rPr>
            <w:color w:val="0000EE"/>
            <w:u w:val="single"/>
          </w:rPr>
          <w:t>[3]</w:t>
        </w:r>
      </w:hyperlink>
      <w:r>
        <w:t xml:space="preserve">, </w:t>
      </w:r>
      <w:hyperlink r:id="rId12">
        <w:r>
          <w:rPr>
            <w:color w:val="0000EE"/>
            <w:u w:val="single"/>
          </w:rPr>
          <w:t>[7]</w:t>
        </w:r>
      </w:hyperlink>
      <w:r>
        <w:t xml:space="preserve">- Paragraph 7: </w:t>
      </w:r>
      <w:hyperlink r:id="rId9">
        <w:r>
          <w:rPr>
            <w:color w:val="0000EE"/>
            <w:u w:val="single"/>
          </w:rPr>
          <w:t>[2]</w:t>
        </w:r>
      </w:hyperlink>
      <w:r>
        <w:t xml:space="preserve">, </w:t>
      </w:r>
      <w:hyperlink r:id="rId13">
        <w:r>
          <w:rPr>
            <w:color w:val="0000EE"/>
            <w:u w:val="single"/>
          </w:rPr>
          <w:t>[3]</w:t>
        </w:r>
      </w:hyperlink>
      <w:r>
        <w:t xml:space="preserve">- Paragraph 8: </w:t>
      </w:r>
      <w:hyperlink r:id="rId9">
        <w:r>
          <w:rPr>
            <w:color w:val="0000EE"/>
            <w:u w:val="single"/>
          </w:rPr>
          <w:t>[2]</w:t>
        </w:r>
      </w:hyperlink>
      <w:r>
        <w:t xml:space="preserve">, </w:t>
      </w:r>
      <w:hyperlink r:id="rId12">
        <w:r>
          <w:rPr>
            <w:color w:val="0000EE"/>
            <w:u w:val="single"/>
          </w:rPr>
          <w:t>[7]</w:t>
        </w:r>
      </w:hyperlink>
      <w:r>
        <w:t xml:space="preserve">- Paragraph 9: </w:t>
      </w:r>
      <w:hyperlink r:id="rId9">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https://www.thenational.scot/news/26707296.groups-already-mobilising-scotlands-conversion-practices-ban/?ref=rss</w:t>
        </w:r>
      </w:hyperlink>
      <w:r>
        <w:t xml:space="preserve"> - Please view link - unable to able to access data</w:t>
      </w:r>
      <w:r/>
    </w:p>
    <w:p>
      <w:pPr>
        <w:pStyle w:val="ListNumber"/>
        <w:spacing w:line="240" w:lineRule="auto"/>
        <w:ind w:left="720"/>
      </w:pPr>
      <w:r/>
      <w:hyperlink r:id="rId9">
        <w:r>
          <w:rPr>
            <w:color w:val="0000EE"/>
            <w:u w:val="single"/>
          </w:rPr>
          <w:t>https://www.thenational.scot/news/26707296.groups-already-mobilising-scotlands-conversion-practices-ban/?ref=rss</w:t>
        </w:r>
      </w:hyperlink>
      <w:r>
        <w:t xml:space="preserve"> - The article reports that Scottish National Party members voted overwhelmingly at their party conference for a comprehensive ban on conversion practices, with no delegates speaking against the motion. It describes the vote as encouraging for campaigners, but also as a reminder that earlier Scottish Government commitments were delayed or set aside in favour of exploring a UK-wide approach. The article says John Swinney pledged to introduce legislation during the first year of the new parliamentary term if necessary, while the UK Government’s draft legislation covers England and Wales, not Scotland. It focuses on opposition already forming: a new pressure group, Protect All Freedoms, established by Conservative councillor James Bundy, and religious organisations’ recorded meetings with MSPs. The article identifies the Bishops’ Conference of Scotland, the Christian Institute and CARE for Scotland among groups that reportedly met MSPs from several parties. It presents competing arguments. LGBT+ campaigners and SNP and Green representatives say a ban is overdue and should protect people from abuse without loopholes. Bundy says protection from harm can be pursued while safeguarding speech, religious liberty, family life and personal autonomy. The article also notes that some lobbying meetings concerned other issues, including abortion and prostitution, and says no legislation had yet been published by the Scottish Government.</w:t>
      </w:r>
      <w:r/>
    </w:p>
    <w:p>
      <w:pPr>
        <w:pStyle w:val="ListNumber"/>
        <w:spacing w:line="240" w:lineRule="auto"/>
        <w:ind w:left="720"/>
      </w:pPr>
      <w:r/>
      <w:hyperlink r:id="rId13">
        <w:r>
          <w:rPr>
            <w:color w:val="0000EE"/>
            <w:u w:val="single"/>
          </w:rPr>
          <w:t>https://www.parliament.scot/chamber-and-committees/research-prepared-for-parliament/research-briefings/2026/11/4/sb-2671</w:t>
        </w:r>
      </w:hyperlink>
      <w:r>
        <w:t xml:space="preserve"> - This Scottish Parliament research briefing discusses the status of proposed legislation to end conversion practices. It explains that the UK Government’s draft bill, as published, applies to England and Wales, leaving Scotland’s position dependent on decisions by both the UK and Scottish governments. The briefing records that Scottish ministers have considered whether to seek an extension of the UK draft legislation to Scotland. It also describes the possibility of a UK-wide approach and the discussions between governments about whether such an arrangement is feasible. The document provides parliamentary context for the policy debate, including the Scottish Government’s stated intention to prepare its own legislation if a fully inclusive UK-wide bill cannot be achieved. It helps clarify why an announcement that draft legislation exists does not mean that a ban already applies in Scotland. The briefing is useful for understanding the legislative process and the distinction between a draft proposal and law in force. It also situates the question within the Scottish Parliament’s responsibilities and the practical decisions still facing ministers. The central takeaway is that the coverage, scope and timing of any Scottish ban remained unresolved at the time of publication, with the government weighing whether to work through UK legislation or bring forward a Scottish bill.</w:t>
      </w:r>
      <w:r/>
    </w:p>
    <w:p>
      <w:pPr>
        <w:pStyle w:val="ListNumber"/>
        <w:spacing w:line="240" w:lineRule="auto"/>
        <w:ind w:left="720"/>
      </w:pPr>
      <w:r/>
      <w:hyperlink r:id="rId14">
        <w:r>
          <w:rPr>
            <w:color w:val="0000EE"/>
            <w:u w:val="single"/>
          </w:rPr>
          <w:t>https://www.parliament.scot/chamber-and-committees/official-report/search-what-was-said-in-parliament/meeting-of-parliament-25-03-2026?iob=225209&amp;meeting=20157</w:t>
        </w:r>
      </w:hyperlink>
      <w:r>
        <w:t xml:space="preserve"> - This official Scottish Parliament report records a question to First Minister John Swinney about the Government’s commitment to banning conversion practices. Swinney says the Scottish Government is continuing discussions with the UK Government to explore UK-wide legislation. He also gives a conditional commitment: if the UK Government cannot introduce a fully inclusive ban, the Scottish Government would publish its own bill in the first year of the next parliamentary session, provided voters return his government. The exchange is a primary record of the position expressed in Parliament, rather than a news report or campaign statement. It shows that the proposed Scottish legislation was linked to the outcome of negotiations over UK-wide coverage, and that the commitment was framed around the next parliamentary term. Swinney describes the Government as committed to equality, advancing LGBTQI+ rights and ending harmful and abusive conversion practices. The report is relevant to the article’s account of the political pledge and the possibility of Scottish legislation following the election. It also gives readers the exact parliamentary context: the commitment was made in response to a direct question about progress, and it did not mean that a bill had already been introduced. The record can therefore be used to distinguish the Government’s stated intention from enacted law or a published Scottish bill.</w:t>
      </w:r>
      <w:r/>
    </w:p>
    <w:p>
      <w:pPr>
        <w:pStyle w:val="ListNumber"/>
        <w:spacing w:line="240" w:lineRule="auto"/>
        <w:ind w:left="720"/>
      </w:pPr>
      <w:r/>
      <w:hyperlink r:id="rId10">
        <w:r>
          <w:rPr>
            <w:color w:val="0000EE"/>
            <w:u w:val="single"/>
          </w:rPr>
          <w:t>https://www.parliament.scot/chamber-and-committees/votes-and-motions/S7M-00085</w:t>
        </w:r>
      </w:hyperlink>
      <w:r>
        <w:t xml:space="preserve"> - This Scottish Parliament motion calls for action to end conversion practices in Scotland and sets out the motion’s understanding of the issue. It condemns attempts to change or suppress a person’s sexual orientation, gender identity or expression, and recognises that conversion practices can cause lasting physical and mental harm. The motion argues that legislation should include both criminal and civil sanctions, alongside measures such as public education and support for survivors. It calls for a comprehensive approach covering sexual orientation, including asexuality, and gender identity, across all settings. It also links the proposed legislation to human-rights obligations and refers to a Council of Europe resolution calling for comprehensive bans. The motion asks the Scottish Government to act as soon as practically possible during the first year of the current parliamentary session. As a parliamentary motion, this page records a political position and request for government action; it is not itself a bill or a law. It provides primary-source context for claims that Scottish politicians and party members have pressed for a ban, and for the proposed breadth of such legislation. The text also makes clear that proponents envisage more than criminal offences alone, presenting education and survivor support as parts of a wider strategy to prevent and respond to conversion practices.</w:t>
      </w:r>
      <w:r/>
    </w:p>
    <w:p>
      <w:pPr>
        <w:pStyle w:val="ListNumber"/>
        <w:spacing w:line="240" w:lineRule="auto"/>
        <w:ind w:left="720"/>
      </w:pPr>
      <w:r/>
      <w:hyperlink r:id="rId11">
        <w:r>
          <w:rPr>
            <w:color w:val="0000EE"/>
            <w:u w:val="single"/>
          </w:rPr>
          <w:t>https://www.gov.scot/publications/foi-202500470110/</w:t>
        </w:r>
      </w:hyperlink>
      <w:r>
        <w:t xml:space="preserve"> - This Scottish Government publication responds to a Freedom of Information request concerning the consultation on ending conversion practices in Scotland. It addresses requests for consultation responses, information about responses that were not authorised for publication, analysis of the consultation, and explanations for the Government’s approach to developing legislation. The page explains that a consultation ran from 9 January to 2 April 2024 and discusses the Government’s plans following that process. Its account says the Government continued to develop legislation and policy, with the aim of being prepared to publish a bill in the first year of the next Scottish Parliament if a UK-wide approach proved impossible. This is useful evidence of the policy’s development and the Government’s stated contingency plan. It also shows that consultation and analysis are stages in the formation of legislation, rather than proof that a bill had already been introduced or passed. The publication provides official background to the political debate over whether Scotland should legislate independently or seek a UK-wide solution. It is especially relevant to claims about the earlier Scottish Government commitment, the consultation, and the conditions under which ministers said they would prepare Scottish legislation. Readers should distinguish the Government’s explanation of its intentions from independent assessments of the consultation or views expressed by campaign groups.</w:t>
      </w:r>
      <w:r/>
    </w:p>
    <w:p>
      <w:pPr>
        <w:pStyle w:val="ListNumber"/>
        <w:spacing w:line="240" w:lineRule="auto"/>
        <w:ind w:left="720"/>
      </w:pPr>
      <w:r/>
      <w:hyperlink r:id="rId12">
        <w:r>
          <w:rPr>
            <w:color w:val="0000EE"/>
            <w:u w:val="single"/>
          </w:rPr>
          <w:t>https://www.gov.scot/publications/expert-advisory-group-ending-conversion-practices-report-recommendations/</w:t>
        </w:r>
      </w:hyperlink>
      <w:r>
        <w:t xml:space="preserve"> - This Scottish Government publication presents the report and recommendations of the Expert Advisory Group on Ending Conversion Practices. The group considered measures that could be used in Scotland to address practices intended to change a person’s sexual orientation or gender identity. Its report frames conversion practices as a human-rights concern, including potential discrimination and non-consensual medical treatment, and considers ways to prevent harm. The recommendations discuss a range of possible responses, not solely criminal prosecution. These include targeted education, notices requiring a person to stop a practice, action by relevant authorities and voluntary agreements. The report also addresses concerns about freedoms, concluding that ending conversion practices need not unlawfully restrict existing rights such as freedom of speech, religion and belief. The publication is relevant to the article’s description of the practices and the debate over whether a ban can protect people while respecting civil liberties. It is an advisory report, rather than legislation: it informs government consideration but does not itself create offences or impose a legal ban. The document offers a detailed policy foundation for understanding why campaigners seek comprehensive protections and why questions about scope, safeguards and enforcement have become central to political discussion in Scotland.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national.scot/news/26707296.groups-already-mobilising-scotlands-conversion-practices-ban/?ref=rss" TargetMode="External"/><Relationship Id="rId10" Type="http://schemas.openxmlformats.org/officeDocument/2006/relationships/hyperlink" Target="https://www.parliament.scot/chamber-and-committees/votes-and-motions/S7M-00085" TargetMode="External"/><Relationship Id="rId11" Type="http://schemas.openxmlformats.org/officeDocument/2006/relationships/hyperlink" Target="https://www.gov.scot/publications/foi-202500470110/" TargetMode="External"/><Relationship Id="rId12" Type="http://schemas.openxmlformats.org/officeDocument/2006/relationships/hyperlink" Target="https://www.gov.scot/publications/expert-advisory-group-ending-conversion-practices-report-recommendations/" TargetMode="External"/><Relationship Id="rId13" Type="http://schemas.openxmlformats.org/officeDocument/2006/relationships/hyperlink" Target="https://www.parliament.scot/chamber-and-committees/research-prepared-for-parliament/research-briefings/2026/11/4/sb-2671" TargetMode="External"/><Relationship Id="rId14" Type="http://schemas.openxmlformats.org/officeDocument/2006/relationships/hyperlink" Target="https://www.parliament.scot/chamber-and-committees/official-report/search-what-was-said-in-parliament/meeting-of-parliament-25-03-2026?iob=225209&amp;meeting=201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