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Indonesia’s LGBTQ “Threat” Label and the Cost of Vigilantism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national defence policy in Indonesia has described the spread of LGBTQ culture as a non-military threat, as videos show self-styled “boti hunters” chasing trans women in Bogor. The gap between official language and life on the street matters: when a group is cast as a danger, harassment can begin to look like public service.</w:t>
      </w:r>
      <w:r/>
    </w:p>
    <w:p>
      <w:pPr>
        <w:pStyle w:val="Heading2"/>
      </w:pPr>
      <w:r>
        <w:t>Essential Takeaways</w:t>
      </w:r>
      <w:r/>
      <w:r/>
    </w:p>
    <w:p>
      <w:pPr>
        <w:pStyle w:val="ListBullet"/>
        <w:spacing w:line="240" w:lineRule="auto"/>
        <w:ind w:left="720"/>
      </w:pPr>
      <w:r/>
      <w:r>
        <w:rPr>
          <w:b/>
        </w:rPr>
        <w:t>A policy with consequences:</w:t>
      </w:r>
      <w:r>
        <w:t xml:space="preserve"> Presidential Regulation No. 111 of 2025 lists the spread of LGBTQ culture among non-military threats to Indonesia.</w:t>
      </w:r>
      <w:r/>
    </w:p>
    <w:p>
      <w:pPr>
        <w:pStyle w:val="ListBullet"/>
        <w:spacing w:line="240" w:lineRule="auto"/>
        <w:ind w:left="720"/>
      </w:pPr>
      <w:r/>
      <w:r>
        <w:rPr>
          <w:b/>
        </w:rPr>
        <w:t>Violence in Bogor:</w:t>
      </w:r>
      <w:r>
        <w:t xml:space="preserve"> Amnesty International Indonesia reported that at least ten trans women were targeted there over two months.</w:t>
      </w:r>
      <w:r/>
    </w:p>
    <w:p>
      <w:pPr>
        <w:pStyle w:val="ListBullet"/>
        <w:spacing w:line="240" w:lineRule="auto"/>
        <w:ind w:left="720"/>
      </w:pPr>
      <w:r/>
      <w:r>
        <w:rPr>
          <w:b/>
        </w:rPr>
        <w:t>A troubling distinction:</w:t>
      </w:r>
      <w:r>
        <w:t xml:space="preserve"> Officials have argued that the policy targets “culture”, not LGBTQ+ people, but the line can be hard to separate in practice.</w:t>
      </w:r>
      <w:r/>
    </w:p>
    <w:p>
      <w:pPr>
        <w:pStyle w:val="ListBullet"/>
        <w:spacing w:line="240" w:lineRule="auto"/>
        <w:ind w:left="720"/>
      </w:pPr>
      <w:r/>
      <w:r>
        <w:rPr>
          <w:b/>
        </w:rPr>
        <w:t>Legal protections remain limited:</w:t>
      </w:r>
      <w:r>
        <w:t xml:space="preserve"> ILGA-Europe’s 2026 Rainbow Map ranked Romania lowest among EU member states for LGBTQ+ legal and policy conditions.</w:t>
      </w:r>
      <w:r/>
    </w:p>
    <w:p>
      <w:pPr>
        <w:pStyle w:val="ListBullet"/>
        <w:spacing w:line="240" w:lineRule="auto"/>
        <w:ind w:left="720"/>
      </w:pPr>
      <w:r/>
      <w:r>
        <w:rPr>
          <w:b/>
        </w:rPr>
        <w:t>Words shape behaviour:</w:t>
      </w:r>
      <w:r>
        <w:t xml:space="preserve"> A label that frames a group as a threat can help make prejudice seem legitimate.</w:t>
      </w:r>
      <w:r/>
      <w:r/>
    </w:p>
    <w:p>
      <w:pPr>
        <w:pStyle w:val="Heading2"/>
      </w:pPr>
      <w:r>
        <w:t>When “clean-up” becomes a chase</w:t>
      </w:r>
      <w:r/>
    </w:p>
    <w:p>
      <w:r/>
      <w:r>
        <w:t>The Bogor videos have the giddy, performative energy of boys showing off for a camera, until the people they’re pursuing start running. The riders call themselves “boti hunters” and shout that they’re cleaning up the streets. It’s a chilling contrast: laughter on one side of the phone, fear on the other. Amnesty International Indonesia reported that at least ten trans women were targeted in Bogor over a two-month period, with some victims forced to strip and having their clothes torn.</w:t>
      </w:r>
      <w:r/>
    </w:p>
    <w:p>
      <w:r/>
      <w:r>
        <w:t>The videos didn’t appear in a vacuum. They circulated in a climate where Indonesia’s 2025–29 defence policy identifies the spread of LGBTQ culture as a non-military threat. As ABC News reported, the footage drew attention to the attacks and the way anti-LGBTQ rhetoric can spill into daily life. For the people being chased, the distinction between a policy phrase and a street-level threat is hardly academic.</w:t>
      </w:r>
      <w:r/>
    </w:p>
    <w:p>
      <w:pPr>
        <w:pStyle w:val="Heading2"/>
      </w:pPr>
      <w:r>
        <w:t>What Indonesia’s policy says, and what it doesn’t</w:t>
      </w:r>
      <w:r/>
    </w:p>
    <w:p>
      <w:r/>
      <w:r>
        <w:t>Presidential Regulation No. 111 of 2025 sets out the country’s general defence policy for 2025 to 2029. The Library of Congress summary notes that it includes the “spread of LGBTQ culture” in a list of non-military threats, alongside issues such as terrorism, separatism and narcotics. That wording matters because it gives a political label to a broad and diverse part of ordinary life.</w:t>
      </w:r>
      <w:r/>
    </w:p>
    <w:p>
      <w:r/>
      <w:r>
        <w:t>Officials have tried to draw a boundary between LGBTQ+ people and LGBTQ+ “culture”. But a label can be difficult to contain once it enters public debate. If people hear that a culture is dangerous, it’s reasonable to ask who they’ll identify as its supposed carriers, and what treatment those people may face.</w:t>
      </w:r>
      <w:r/>
    </w:p>
    <w:p>
      <w:pPr>
        <w:pStyle w:val="Heading2"/>
      </w:pPr>
      <w:r>
        <w:t>Why the distinction between identity and abuse matters</w:t>
      </w:r>
      <w:r/>
    </w:p>
    <w:p>
      <w:r/>
      <w:r>
        <w:t>The personal essay behind this story traces how a religious boarding-school upbringing shaped the author’s early understanding of sexuality. In that closed environment, rumours of abuse and teachings about sin became tangled together. Only later did the author come to understand that abuse is about coercion and power, not the same thing as consensual love between people of the same sex.</w:t>
      </w:r>
      <w:r/>
    </w:p>
    <w:p>
      <w:r/>
      <w:r>
        <w:t xml:space="preserve">That distinction is worth holding on to. Harmful conduct should be addressed as harmful conduct, with attention to consent and evidence, rather than used to stigmatise an entire group. Research published in </w:t>
      </w:r>
      <w:r>
        <w:rPr>
          <w:i/>
        </w:rPr>
        <w:t>Computers &amp; Education</w:t>
      </w:r>
      <w:r>
        <w:t xml:space="preserve"> offers a wider reminder that educational settings and the ways they handle sensitive topics can influence how young people understand themselves and others.</w:t>
      </w:r>
      <w:r/>
    </w:p>
    <w:p>
      <w:pPr>
        <w:pStyle w:val="Heading2"/>
      </w:pPr>
      <w:r>
        <w:t>Romania offers a different, imperfect comparison</w:t>
      </w:r>
      <w:r/>
    </w:p>
    <w:p>
      <w:r/>
      <w:r>
        <w:t>The author’s time in Romania brought everyday contact with queer people whose lives looked, well, ordinary: studying, dating, missing buses and worrying about exams. That familiarity challenged assumptions built on fear. It didn’t mean Romania was free from prejudice, though, and the story also describes how the author experienced being reduced to a Muslim stereotype.</w:t>
      </w:r>
      <w:r/>
    </w:p>
    <w:p>
      <w:r/>
      <w:r>
        <w:t>There’s a useful lesson in that uncomfortable symmetry. Nobody wants their whole identity flattened into a single label, whether it’s religion or sexuality. ILGA-Europe’s 2026 Rainbow Map ranked Romania lowest among EU member states for legal and policy conditions affecting LGBTQ+ people, a reminder that personal acceptance and formal rights don’t always move at the same pace.</w:t>
      </w:r>
      <w:r/>
    </w:p>
    <w:p>
      <w:pPr>
        <w:pStyle w:val="Heading2"/>
      </w:pPr>
      <w:r>
        <w:t>How to read the rhetoric, not just the headline</w:t>
      </w:r>
      <w:r/>
    </w:p>
    <w:p>
      <w:r/>
      <w:r>
        <w:t>When a government or public figure calls a group a threat, look closely at what the wording actually covers. Is it aimed at specific, demonstrable conduct, or at a broad idea that can be used to cast suspicion on people simply for who they are? That distinction can help readers separate a policy claim from its real-world effects.</w:t>
      </w:r>
      <w:r/>
    </w:p>
    <w:p>
      <w:r/>
      <w:r>
        <w:t>It’s also worth following independent reporting and human rights organisations, rather than relying on viral clips alone. Amnesty International Indonesia’s account documents the reported targeting in Bogor, while ABC News reported on the broader controversy around the policy and the attacks. Videos can show a moment; careful reporting helps establish what happened and who may be at risk.</w:t>
      </w:r>
      <w:r/>
    </w:p>
    <w:p>
      <w:r/>
      <w:r>
        <w:t>A label meant to describe a “culture” can still land on real people, in real streets.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11">
        <w:r>
          <w:rPr>
            <w:color w:val="0000EE"/>
            <w:u w:val="single"/>
          </w:rPr>
          <w:t>[4]</w:t>
        </w:r>
      </w:hyperlink>
      <w:r>
        <w:t xml:space="preserve">- Paragraph 4: </w:t>
      </w:r>
      <w:hyperlink r:id="rId11">
        <w:r>
          <w:rPr>
            <w:color w:val="0000EE"/>
            <w:u w:val="single"/>
          </w:rPr>
          <w:t>[4]</w:t>
        </w:r>
      </w:hyperlink>
      <w:r>
        <w:t xml:space="preserve">- Paragraph 5: </w:t>
      </w:r>
      <w:hyperlink r:id="rId9">
        <w:r>
          <w:rPr>
            <w:color w:val="0000EE"/>
            <w:u w:val="single"/>
          </w:rPr>
          <w:t>[2]</w:t>
        </w:r>
      </w:hyperlink>
      <w:r>
        <w:t xml:space="preserve">- Paragraph 6: </w:t>
      </w:r>
      <w:hyperlink r:id="rId13">
        <w:r>
          <w:rPr>
            <w:color w:val="0000EE"/>
            <w:u w:val="single"/>
          </w:rPr>
          <w:t>[7]</w:t>
        </w:r>
      </w:hyperlink>
      <w:r>
        <w:t xml:space="preserve">- Paragraph 7: </w:t>
      </w:r>
      <w:hyperlink r:id="rId9">
        <w:r>
          <w:rPr>
            <w:color w:val="0000EE"/>
            <w:u w:val="single"/>
          </w:rPr>
          <w:t>[2]</w:t>
        </w:r>
      </w:hyperlink>
      <w:r>
        <w:t xml:space="preserve">- Paragraph 8: </w:t>
      </w:r>
      <w:hyperlink r:id="rId14">
        <w:r>
          <w:rPr>
            <w:color w:val="0000EE"/>
            <w:u w:val="single"/>
          </w:rPr>
          <w:t>[6]</w:t>
        </w:r>
      </w:hyperlink>
      <w:r>
        <w:t xml:space="preserve">- Paragraph 9: </w:t>
      </w:r>
      <w:hyperlink r:id="rId11">
        <w:r>
          <w:rPr>
            <w:color w:val="0000EE"/>
            <w:u w:val="single"/>
          </w:rPr>
          <w:t>[4]</w:t>
        </w:r>
      </w:hyperlink>
      <w:r>
        <w:t xml:space="preserve">, </w:t>
      </w:r>
      <w:hyperlink r:id="rId12">
        <w:r>
          <w:rPr>
            <w:color w:val="0000EE"/>
            <w:u w:val="single"/>
          </w:rPr>
          <w:t>[5]</w:t>
        </w:r>
      </w:hyperlink>
      <w:r>
        <w:t xml:space="preserve">- Paragraph 10: </w:t>
      </w:r>
      <w:hyperlink r:id="rId10">
        <w:r>
          <w:rPr>
            <w:color w:val="0000EE"/>
            <w:u w:val="single"/>
          </w:rPr>
          <w:t>[3]</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https://mekongreview.com/the-state-and-the-sin/</w:t>
        </w:r>
      </w:hyperlink>
      <w:r>
        <w:t xml:space="preserve"> - Please view link - unable to able to access data</w:t>
      </w:r>
      <w:r/>
    </w:p>
    <w:p>
      <w:pPr>
        <w:pStyle w:val="ListNumber"/>
        <w:spacing w:line="240" w:lineRule="auto"/>
        <w:ind w:left="720"/>
      </w:pPr>
      <w:r/>
      <w:hyperlink r:id="rId9">
        <w:r>
          <w:rPr>
            <w:color w:val="0000EE"/>
            <w:u w:val="single"/>
          </w:rPr>
          <w:t>https://mekongreview.com/the-state-and-the-sin/</w:t>
        </w:r>
      </w:hyperlink>
      <w:r>
        <w:t xml:space="preserve"> - The article is a personal essay by an Indonesian Muslim writer reflecting on how religious schooling, shame and social prejudice shaped his early understanding of sexuality. He recalls growing up in boys’ pesantren, where effeminate behaviour could attract ridicule and where same-sex intimacy was often associated with coercion or abuse. Years later, friendships with queer people in Romania helped him distinguish consensual relationships from predation and reconsider the judgement he had learnt as a child. The essay also describes how experiencing anti-Muslim prejudice made him more aware of the harm caused by reducing people to a single part of their identity. It then turns to Indonesia’s Presidential Regulation No. 111 of 2025, which lists the spread of LGBTQ culture among non-military threats, and to proposals to teach children to resist that culture. The writer argues that condemning a supposed culture inevitably affects people associated with it. He connects this official framing to attacks on trans women in Bogor, including videos made by young men who called themselves “boti hunters”. Amnesty International Indonesia reported that at least ten trans women had been targeted in the city over two months. The essay closes with the writer’s recognition that, as a boy, he might also have laughed along with the attackers. Its central concern is how prejudice learnt in intimate settings can become public policy and violence.</w:t>
      </w:r>
      <w:r/>
    </w:p>
    <w:p>
      <w:pPr>
        <w:pStyle w:val="ListNumber"/>
        <w:spacing w:line="240" w:lineRule="auto"/>
        <w:ind w:left="720"/>
      </w:pPr>
      <w:r/>
      <w:hyperlink r:id="rId10">
        <w:r>
          <w:rPr>
            <w:color w:val="0000EE"/>
            <w:u w:val="single"/>
          </w:rPr>
          <w:t>https://www.amnesty.id/kabar-terbaru/siaran-pers/usut-tuntas-kejahatan-persekusi-terhadap-transpuan-di-kota-bogor/07/2026/</w:t>
        </w:r>
      </w:hyperlink>
      <w:r>
        <w:t xml:space="preserve"> - Amnesty International Indonesia’s statement, published on 17 July 2026, calls for a full investigation into attacks and persecution of transgender women in Bogor. Drawing on information received by the organisation, it reports at least three separate incidents over the preceding two months, involving at least ten victims. Groups of between ten and twenty people allegedly pursued and assaulted trans women, filmed the attacks and shared recordings on social media. Amnesty says victims were beaten, injured, struck with bottles, sprayed with urine or forced to remove their clothing, which attackers sometimes tore. Some people reportedly became too frightened to report what happened to the police. The organisation also describes the wider consequences: trans women already face economic marginalisation and barriers to formal employment, while the attacks have added trauma and made some afraid to go out to earn a living. Amnesty links the increase in attacks to the public attention surrounding Presidential Regulation No. 111 of 2025, which includes the spread of LGBTQ culture among non-military threats. It urges Bogor’s mayor and police to protect the community, prevent further incidents, identify those responsible and bring them before the courts. The statement emphasises that transgender people are entitled to the same constitutional and legal protections as other citizens. It presents the attacks as serious rights violations, not merely street crime, and argues that authorities have a responsibility to prevent and punish them.</w:t>
      </w:r>
      <w:r/>
    </w:p>
    <w:p>
      <w:pPr>
        <w:pStyle w:val="ListNumber"/>
        <w:spacing w:line="240" w:lineRule="auto"/>
        <w:ind w:left="720"/>
      </w:pPr>
      <w:r/>
      <w:hyperlink r:id="rId11">
        <w:r>
          <w:rPr>
            <w:color w:val="0000EE"/>
            <w:u w:val="single"/>
          </w:rPr>
          <w:t>https://www.loc.gov/item/global-legal-monitor/2026-07-27/indonesia-presidential-regulation-designates-spread-of-lgbtq-culture-as-nonmilitary-state-threat/</w:t>
        </w:r>
      </w:hyperlink>
      <w:r>
        <w:t xml:space="preserve"> - This Library of Congress legal briefing explains Indonesia’s Presidential Regulation No. 111 of 2025 and the controversy over its designation of the dissemination of LGBTQ culture as a non-military threat. Signed in October 2025, the regulation contains the General National Defence Policy for 2025–2029. The briefing describes how the policy groups potential threats under military, non-military and hybrid categories, with non-military threats covering ideological, political, economic, social, cultural, technological, public-safety and legislative dimensions. LGBTQ culture appears alongside issues such as terrorism, radicalism, separatism, online gambling, illegal lending and drug distribution. The article also outlines a government proposal to introduce educational materials intended to prevent the spread of LGBTQ culture, potentially in Islamic schools, boarding schools and religious higher-education institutions. It records criticism from civil-society organisations and rights advocates, who argue that the policy risks institutionalising discrimination and making LGBTQ people more vulnerable to harassment and violence. The briefing distinguishes the regulation from a law directly criminalising same-sex relationships: it notes that Indonesia has no national law criminalising such relationships, while describing other morality-based laws and proposed measures that may affect LGBTQ people. By setting out the policy’s provisions, the proposed educational response and opposing views, the article provides legal and political context for the essay’s concerns about treating LGBTQ culture as a matter of national defence.</w:t>
      </w:r>
      <w:r/>
    </w:p>
    <w:p>
      <w:pPr>
        <w:pStyle w:val="ListNumber"/>
        <w:spacing w:line="240" w:lineRule="auto"/>
        <w:ind w:left="720"/>
      </w:pPr>
      <w:r/>
      <w:hyperlink r:id="rId12">
        <w:r>
          <w:rPr>
            <w:color w:val="0000EE"/>
            <w:u w:val="single"/>
          </w:rPr>
          <w:t>https://www.abc.net.au/news/2026-08-15/men-attack-transwomen-in-indonesia-after-rule-deems-them-threat/107023468</w:t>
        </w:r>
      </w:hyperlink>
      <w:r>
        <w:t xml:space="preserve"> - ABC News reports on a series of attacks against transgender women in Bogor, West Java, and the climate surrounding them. The article describes footage of a July 2026 assault in which men allegedly doused a trans woman with what appeared to be urine, chased her and tried to hit her with a piece of wood. Pelangi Nusantara, an LGBTQIA+ advocacy organisation, recorded ten attacks between 30 March and 15 July and reported 45 victim-survivors. Accounts of the incidents include punching, kicking, throwing stones and bottles, setting off firecrackers and stripping some victims. Amnesty International Indonesia said groups of ten to twenty men often filmed and posted attacks online, while some survivors were too afraid to report them. Activists describe the resulting fear, particularly for working-class trans women whose work requires them to be visible in public spaces. The story places the attacks within a broader history of politicised debate about LGBTQIA+ people in Indonesia, noting that Presidential Regulation No. 111 of 2025 classifies the spread of LGBTQ culture as a non-military threat. It presents activists’ concerns that official language can legitimise hostility, while also noting that reliable data is limited and the recent cases do not by themselves establish an overall national trend. The report offers detailed independent context for the essay’s account of filmed anti-trans violence in Bogor.</w:t>
      </w:r>
      <w:r/>
    </w:p>
    <w:p>
      <w:pPr>
        <w:pStyle w:val="ListNumber"/>
        <w:spacing w:line="240" w:lineRule="auto"/>
        <w:ind w:left="720"/>
      </w:pPr>
      <w:r/>
      <w:hyperlink r:id="rId14">
        <w:r>
          <w:rPr>
            <w:color w:val="0000EE"/>
            <w:u w:val="single"/>
          </w:rPr>
          <w:t>https://www.ilga-europe.org/report/rainbow-map-2026/</w:t>
        </w:r>
      </w:hyperlink>
      <w:r>
        <w:t xml:space="preserve"> - ILGA-Europe’s 2026 Rainbow Map report compares laws and policies affecting LGBTI people across 49 European countries. It explains that the annual benchmarking tool assesses 76 criteria in seven areas: equality and non-discrimination, family rights, hate crime and hate speech, legal gender recognition, intersex bodily integrity, civil-society space and asylum. The organisation says its country data are reviewed in consultation with member organisations and more than 200 national experts. The 2026 report places Spain at the top of the ranking and records an average score of 43 per cent across Europe and 52 per cent across European Union countries. Romania ranks 42nd among the 49 countries, with a score of 19 per cent, and remains the lowest-ranked EU member state. The report highlights Romania’s lack of comprehensive legal gender recognition and recognition of same-sex partnerships, alongside the country’s failure to implement relevant European court rulings. The map is a measure of laws and policy, not a complete assessment of daily life or individual experiences; its criteria and methodology are set out in the report. This primary source supports the article’s specific claim about Romania’s comparative position in 2026 and clarifies what the ranking measures. It also provides wider context for the essay’s contrast between ordinary relationships with queer people in Romania and the legal environment they encounter there.</w:t>
      </w:r>
      <w:r/>
    </w:p>
    <w:p>
      <w:pPr>
        <w:pStyle w:val="ListNumber"/>
        <w:spacing w:line="240" w:lineRule="auto"/>
        <w:ind w:left="720"/>
      </w:pPr>
      <w:r/>
      <w:hyperlink r:id="rId13">
        <w:r>
          <w:rPr>
            <w:color w:val="0000EE"/>
            <w:u w:val="single"/>
          </w:rPr>
          <w:t>https://www.sciencedirect.com/science/article/pii/S0883035524000260</w:t>
        </w:r>
      </w:hyperlink>
      <w:r>
        <w:t xml:space="preserve"> - This 2024 research article examines social relationships, wellbeing and learning in single-sex Indonesian pesantren, or Islamic boarding schools. The researchers used a stratified sample of 547 students and compared experiences in boys’ and girls’ settings. Their findings include higher reported levels of verbal and cyberbullying among boys, while girls showed stronger peer belonging, learning motivation and academic achievement. The authors also found that peer belonging and bullying related differently to wellbeing and learning outcomes for girls and boys; within male classrooms, age was associated with differences in happiness and motivation. The research does not investigate LGBTQ identity or establish that bullying in pesantren is necessarily directed at gender-nonconforming students. Its relevance to the personal essay is narrower: it offers empirical context for the account of peer dynamics and bullying in single-sex boarding-school environments. The study stresses that social connections and bullying are linked to students’ wellbeing and learning, and argues for supportive educational settings attentive to gender-specific challenges. As a peer-reviewed study, it provides evidence about student interactions in pesantren without confirming the essay’s individual memories or generalising them to every school. Readers can use it alongside the author’s first-person account to distinguish between the writer’s personal experiences and findings from a broader student sample.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kongreview.com/the-state-and-the-sin/" TargetMode="External"/><Relationship Id="rId10" Type="http://schemas.openxmlformats.org/officeDocument/2006/relationships/hyperlink" Target="https://www.amnesty.id/kabar-terbaru/siaran-pers/usut-tuntas-kejahatan-persekusi-terhadap-transpuan-di-kota-bogor/07/2026/" TargetMode="External"/><Relationship Id="rId11" Type="http://schemas.openxmlformats.org/officeDocument/2006/relationships/hyperlink" Target="https://www.loc.gov/item/global-legal-monitor/2026-07-27/indonesia-presidential-regulation-designates-spread-of-lgbtq-culture-as-nonmilitary-state-threat/" TargetMode="External"/><Relationship Id="rId12" Type="http://schemas.openxmlformats.org/officeDocument/2006/relationships/hyperlink" Target="https://www.abc.net.au/news/2026-08-15/men-attack-transwomen-in-indonesia-after-rule-deems-them-threat/107023468" TargetMode="External"/><Relationship Id="rId13" Type="http://schemas.openxmlformats.org/officeDocument/2006/relationships/hyperlink" Target="https://www.sciencedirect.com/science/article/pii/S0883035524000260" TargetMode="External"/><Relationship Id="rId14" Type="http://schemas.openxmlformats.org/officeDocument/2006/relationships/hyperlink" Target="https://www.ilga-europe.org/report/rainbow-map-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