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How Dungeons &amp; Dragons can help queer players find belonging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Dungeons &amp; Dragons campaign can be more than a fantasy adventure. For one queer player, taking on a brave character became a gentle way to practise being seen and accepted, while the shared storytelling created a sense of community around the table. Research and reporting on LGBTQ+ experiences in Kenya offer important context for why that kind of safe space can matter.</w:t>
      </w:r>
      <w:r/>
    </w:p>
    <w:p>
      <w:pPr>
        <w:pStyle w:val="Heading2"/>
      </w:pPr>
      <w:r>
        <w:t>A fantasy table became a place to feel at home</w:t>
      </w:r>
      <w:r/>
    </w:p>
    <w:p>
      <w:r/>
      <w:r>
        <w:t xml:space="preserve">Dungeons &amp; Dragons begins with an imagined world, a handful of dice and a group willing to make a story together. But for one player, the game offered something strikingly real: a way to reveal his sexuality among fellow players and discover that he belonged. </w:t>
      </w:r>
      <w:hyperlink r:id="rId9">
        <w:r>
          <w:rPr>
            <w:color w:val="0000EE"/>
            <w:u w:val="single"/>
          </w:rPr>
          <w:t>[2]</w:t>
        </w:r>
      </w:hyperlink>
      <w:r>
        <w:rPr>
          <w:b/>
        </w:rPr>
        <w:t xml:space="preserve">, </w:t>
      </w:r>
      <w:hyperlink r:id="rId10">
        <w:r>
          <w:rPr>
            <w:color w:val="0000EE"/>
            <w:u w:val="single"/>
          </w:rPr>
          <w:t>[3]</w:t>
        </w:r>
      </w:hyperlink>
      <w:r/>
    </w:p>
    <w:p>
      <w:r/>
      <w:r>
        <w:t xml:space="preserve">The welcome wasn’t delivered as a grand speech. The group simply carried on playing, making room for him as part of the party. Sometimes acceptance is most powerful when it feels ordinary. </w:t>
      </w:r>
      <w:hyperlink r:id="rId9">
        <w:r>
          <w:rPr>
            <w:color w:val="0000EE"/>
            <w:u w:val="single"/>
          </w:rPr>
          <w:t>[2]</w:t>
        </w:r>
      </w:hyperlink>
      <w:r>
        <w:rPr>
          <w:b/>
        </w:rPr>
        <w:t xml:space="preserve">, </w:t>
      </w:r>
      <w:hyperlink r:id="rId11">
        <w:r>
          <w:rPr>
            <w:color w:val="0000EE"/>
            <w:u w:val="single"/>
          </w:rPr>
          <w:t>[4]</w:t>
        </w:r>
      </w:hyperlink>
      <w:r/>
    </w:p>
    <w:p>
      <w:pPr>
        <w:pStyle w:val="Heading2"/>
      </w:pPr>
      <w:r>
        <w:t>Playing someone else made courage feel possible</w:t>
      </w:r>
      <w:r/>
    </w:p>
    <w:p>
      <w:r/>
      <w:r>
        <w:t xml:space="preserve">His character, a half-elf ranger called Kael, was brave, loyal and imperfect. Building and playing that hero gave the player a chance to try out confidence and speak more freely, without needing to get every moment right. </w:t>
      </w:r>
      <w:hyperlink r:id="rId9">
        <w:r>
          <w:rPr>
            <w:color w:val="0000EE"/>
            <w:u w:val="single"/>
          </w:rPr>
          <w:t>[2]</w:t>
        </w:r>
      </w:hyperlink>
      <w:r>
        <w:rPr>
          <w:b/>
        </w:rPr>
        <w:t xml:space="preserve">, </w:t>
      </w:r>
      <w:hyperlink r:id="rId12">
        <w:r>
          <w:rPr>
            <w:color w:val="0000EE"/>
            <w:u w:val="single"/>
          </w:rPr>
          <w:t>[7]</w:t>
        </w:r>
      </w:hyperlink>
      <w:r/>
    </w:p>
    <w:p>
      <w:r/>
      <w:r>
        <w:t xml:space="preserve">That’s one of tabletop role-playing’s particular charms: there’s no screen between the players, and the story takes shape through shared choices and conversation. A fictional persona can offer useful breathing room, though it doesn’t make every table automatically safe or welcoming. </w:t>
      </w:r>
      <w:hyperlink r:id="rId9">
        <w:r>
          <w:rPr>
            <w:color w:val="0000EE"/>
            <w:u w:val="single"/>
          </w:rPr>
          <w:t>[2]</w:t>
        </w:r>
      </w:hyperlink>
      <w:r>
        <w:rPr>
          <w:b/>
        </w:rPr>
        <w:t xml:space="preserve">, </w:t>
      </w:r>
      <w:hyperlink r:id="rId10">
        <w:r>
          <w:rPr>
            <w:color w:val="0000EE"/>
            <w:u w:val="single"/>
          </w:rPr>
          <w:t>[3]</w:t>
        </w:r>
      </w:hyperlink>
      <w:r/>
    </w:p>
    <w:p>
      <w:pPr>
        <w:pStyle w:val="Heading2"/>
      </w:pPr>
      <w:r>
        <w:t>Kenya’s context makes that welcome especially meaningful</w:t>
      </w:r>
      <w:r/>
    </w:p>
    <w:p>
      <w:r/>
      <w:r>
        <w:t xml:space="preserve">The player described growing up in Nairobi, where he felt he had to hide his sexuality. That personal account sits alongside wider reporting on the experiences and public perceptions of sexual and gender minorities in Kenya. </w:t>
      </w:r>
      <w:hyperlink r:id="rId13">
        <w:r>
          <w:rPr>
            <w:color w:val="0000EE"/>
            <w:u w:val="single"/>
          </w:rPr>
          <w:t>[5]</w:t>
        </w:r>
      </w:hyperlink>
      <w:r>
        <w:rPr>
          <w:b/>
        </w:rPr>
        <w:t xml:space="preserve">, </w:t>
      </w:r>
      <w:hyperlink r:id="rId14">
        <w:r>
          <w:rPr>
            <w:color w:val="0000EE"/>
            <w:u w:val="single"/>
          </w:rPr>
          <w:t>[6]</w:t>
        </w:r>
      </w:hyperlink>
      <w:r/>
    </w:p>
    <w:p>
      <w:r/>
      <w:r>
        <w:t xml:space="preserve">Against that backdrop, finding a queer-friendly group wasn’t simply a pleasant hobby discovery. It became a place to build trust and connection, particularly after he’d struggled to feel at ease in other social settings. </w:t>
      </w:r>
      <w:hyperlink r:id="rId14">
        <w:r>
          <w:rPr>
            <w:color w:val="0000EE"/>
            <w:u w:val="single"/>
          </w:rPr>
          <w:t>[6]</w:t>
        </w:r>
      </w:hyperlink>
      <w:r>
        <w:rPr>
          <w:b/>
        </w:rPr>
        <w:t xml:space="preserve">, </w:t>
      </w:r>
      <w:hyperlink r:id="rId12">
        <w:r>
          <w:rPr>
            <w:color w:val="0000EE"/>
            <w:u w:val="single"/>
          </w:rPr>
          <w:t>[7]</w:t>
        </w:r>
      </w:hyperlink>
      <w:r/>
    </w:p>
    <w:p>
      <w:pPr>
        <w:pStyle w:val="Heading2"/>
      </w:pPr>
      <w:r>
        <w:t>A good game group starts with simple ground rules</w:t>
      </w:r>
      <w:r/>
    </w:p>
    <w:p>
      <w:r/>
      <w:r>
        <w:t xml:space="preserve">For anyone looking for a welcoming D&amp;D group, begin with the people, not the perfect character sheet. Ask how the Dungeon Master handles boundaries, difficult themes and disagreements, and whether newcomers can learn the rules as they go. </w:t>
      </w:r>
      <w:hyperlink r:id="rId9">
        <w:r>
          <w:rPr>
            <w:color w:val="0000EE"/>
            <w:u w:val="single"/>
          </w:rPr>
          <w:t>[2]</w:t>
        </w:r>
      </w:hyperlink>
      <w:r>
        <w:rPr>
          <w:b/>
        </w:rPr>
        <w:t xml:space="preserve">, </w:t>
      </w:r>
      <w:hyperlink r:id="rId10">
        <w:r>
          <w:rPr>
            <w:color w:val="0000EE"/>
            <w:u w:val="single"/>
          </w:rPr>
          <w:t>[3]</w:t>
        </w:r>
      </w:hyperlink>
      <w:r/>
    </w:p>
    <w:p>
      <w:r/>
      <w:r>
        <w:t xml:space="preserve">It also helps to remember that players can contribute at their own pace. Nobody should have to disclose personal details to earn a place at the table, and a group’s warmth is easier to judge through its everyday actions than its grand promises. </w:t>
      </w:r>
      <w:hyperlink r:id="rId11">
        <w:r>
          <w:rPr>
            <w:color w:val="0000EE"/>
            <w:u w:val="single"/>
          </w:rPr>
          <w:t>[4]</w:t>
        </w:r>
      </w:hyperlink>
      <w:r>
        <w:rPr>
          <w:b/>
        </w:rPr>
        <w:t xml:space="preserve">, </w:t>
      </w:r>
      <w:hyperlink r:id="rId14">
        <w:r>
          <w:rPr>
            <w:color w:val="0000EE"/>
            <w:u w:val="single"/>
          </w:rPr>
          <w:t>[6]</w:t>
        </w:r>
      </w:hyperlink>
      <w:r/>
    </w:p>
    <w:p>
      <w:pPr>
        <w:pStyle w:val="Heading2"/>
      </w:pPr>
      <w:r>
        <w:t>The adventure ends; the sense of belonging can last</w:t>
      </w:r>
      <w:r/>
    </w:p>
    <w:p>
      <w:r/>
      <w:r>
        <w:t xml:space="preserve">The original group eventually drifted apart as life and schedules changed, but some friendships endured, and the player continued to play. The lasting gift wasn’t just a memorable campaign: it was the reminder that there are spaces where he can take up room as himself. </w:t>
      </w:r>
      <w:hyperlink r:id="rId9">
        <w:r>
          <w:rPr>
            <w:color w:val="0000EE"/>
            <w:u w:val="single"/>
          </w:rPr>
          <w:t>[2]</w:t>
        </w:r>
      </w:hyperlink>
      <w:r>
        <w:rPr>
          <w:b/>
        </w:rPr>
        <w:t xml:space="preserve">, </w:t>
      </w:r>
      <w:hyperlink r:id="rId12">
        <w:r>
          <w:rPr>
            <w:color w:val="0000EE"/>
            <w:u w:val="single"/>
          </w:rPr>
          <w:t>[7]</w:t>
        </w:r>
      </w:hyperlink>
      <w:r/>
    </w:p>
    <w:p>
      <w:r/>
      <w:r>
        <w:t xml:space="preserve">That’s a lovely thing for a game to offer. Not a substitute for wider support, but a shared world where people can practise trust, tell stories and, dice permitting, find their people. </w:t>
      </w:r>
      <w:hyperlink r:id="rId9">
        <w:r>
          <w:rPr>
            <w:color w:val="0000EE"/>
            <w:u w:val="single"/>
          </w:rPr>
          <w:t>[2]</w:t>
        </w:r>
      </w:hyperlink>
      <w:r>
        <w:rPr>
          <w:b/>
        </w:rPr>
        <w:t xml:space="preserve">, </w:t>
      </w:r>
      <w:hyperlink r:id="rId10">
        <w:r>
          <w:rPr>
            <w:color w:val="0000EE"/>
            <w:u w:val="single"/>
          </w:rPr>
          <w:t>[3]</w:t>
        </w:r>
      </w:hyperlink>
      <w:r/>
    </w:p>
    <w:p>
      <w:r/>
      <w:r>
        <w:t>A welcoming table can make room for more than one kind of hero.</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13">
        <w:r>
          <w:rPr>
            <w:color w:val="0000EE"/>
            <w:u w:val="single"/>
          </w:rPr>
          <w:t>[5]</w:t>
        </w:r>
      </w:hyperlink>
      <w:r>
        <w:t xml:space="preserve">, </w:t>
      </w:r>
      <w:hyperlink r:id="rId14">
        <w:r>
          <w:rPr>
            <w:color w:val="0000EE"/>
            <w:u w:val="single"/>
          </w:rPr>
          <w:t>[6]</w:t>
        </w:r>
      </w:hyperlink>
      <w:r>
        <w:t xml:space="preserve">- Paragraph 6: </w:t>
      </w:r>
      <w:hyperlink r:id="rId14">
        <w:r>
          <w:rPr>
            <w:color w:val="0000EE"/>
            <w:u w:val="single"/>
          </w:rPr>
          <w:t>[6]</w:t>
        </w:r>
      </w:hyperlink>
      <w:r>
        <w:t xml:space="preserve">, </w:t>
      </w:r>
      <w:hyperlink r:id="rId12">
        <w:r>
          <w:rPr>
            <w:color w:val="0000EE"/>
            <w:u w:val="single"/>
          </w:rPr>
          <w:t>[7]</w:t>
        </w:r>
      </w:hyperlink>
      <w:r>
        <w:t xml:space="preserve">- Paragraph 7: </w:t>
      </w:r>
      <w:hyperlink r:id="rId9">
        <w:r>
          <w:rPr>
            <w:color w:val="0000EE"/>
            <w:u w:val="single"/>
          </w:rPr>
          <w:t>[2]</w:t>
        </w:r>
      </w:hyperlink>
      <w:r>
        <w:t xml:space="preserve">, </w:t>
      </w:r>
      <w:hyperlink r:id="rId10">
        <w:r>
          <w:rPr>
            <w:color w:val="0000EE"/>
            <w:u w:val="single"/>
          </w:rPr>
          <w:t>[3]</w:t>
        </w:r>
      </w:hyperlink>
      <w:r>
        <w:t xml:space="preserve">- Paragraph 8: </w:t>
      </w:r>
      <w:hyperlink r:id="rId11">
        <w:r>
          <w:rPr>
            <w:color w:val="0000EE"/>
            <w:u w:val="single"/>
          </w:rPr>
          <w:t>[4]</w:t>
        </w:r>
      </w:hyperlink>
      <w:r>
        <w:t xml:space="preserve">, </w:t>
      </w:r>
      <w:hyperlink r:id="rId14">
        <w:r>
          <w:rPr>
            <w:color w:val="0000EE"/>
            <w:u w:val="single"/>
          </w:rPr>
          <w:t>[6]</w:t>
        </w:r>
      </w:hyperlink>
      <w:r>
        <w:t xml:space="preserve">- Paragraph 9: </w:t>
      </w:r>
      <w:hyperlink r:id="rId9">
        <w:r>
          <w:rPr>
            <w:color w:val="0000EE"/>
            <w:u w:val="single"/>
          </w:rPr>
          <w:t>[2]</w:t>
        </w:r>
      </w:hyperlink>
      <w:r>
        <w:t xml:space="preserve">, </w:t>
      </w:r>
      <w:hyperlink r:id="rId12">
        <w:r>
          <w:rPr>
            <w:color w:val="0000EE"/>
            <w:u w:val="single"/>
          </w:rPr>
          <w:t>[7]</w:t>
        </w:r>
      </w:hyperlink>
      <w:r>
        <w:t xml:space="preserve">- Paragraph 10: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https://metro.co.uk/2026/11/08/dungeons-dragons-allowed-embrace-queer-identity-29731695/</w:t>
        </w:r>
      </w:hyperlink>
      <w:r>
        <w:t xml:space="preserve"> - Please view link - unable to able to access data</w:t>
      </w:r>
      <w:r/>
    </w:p>
    <w:p>
      <w:pPr>
        <w:pStyle w:val="ListNumber"/>
        <w:spacing w:line="240" w:lineRule="auto"/>
        <w:ind w:left="720"/>
      </w:pPr>
      <w:r/>
      <w:hyperlink r:id="rId9">
        <w:r>
          <w:rPr>
            <w:color w:val="0000EE"/>
            <w:u w:val="single"/>
          </w:rPr>
          <w:t>https://dl.digra.org/index.php/dl/article/view/2455</w:t>
        </w:r>
      </w:hyperlink>
      <w:r>
        <w:t xml:space="preserve"> - This research paper explores how tabletop role-playing games can intersect with queer identity exploration. Based on 12 semi-structured interviews with players, the authors examine participants’ experiences of creating and playing characters connected to their own journeys of understanding identity. Players described the games as structured, social settings in which they could try out possible ways of being with relatively low stakes. The paper also considers role-play as a form of performance and asks how character creation and play may help people communicate aspects of identity. Its findings support the article’s central idea that inhabiting a fictional character can provide a route towards expressing or recognising something personal. The authors emphasise, however, that tabletop role-playing games do not affect everyone in the same way: play may support wellbeing, but it can also have negative effects. They therefore discuss ways designers and gaming groups can foster safer, more welcoming communities. This is especially relevant to the account of a queer player who feels accepted by a Dungeons &amp; Dragons group and becomes more confident over time. The paper is a research study of tabletop role-playing games generally, rather than a verification of the individual events in the Metro article.</w:t>
      </w:r>
      <w:r/>
    </w:p>
    <w:p>
      <w:pPr>
        <w:pStyle w:val="ListNumber"/>
        <w:spacing w:line="240" w:lineRule="auto"/>
        <w:ind w:left="720"/>
      </w:pPr>
      <w:r/>
      <w:hyperlink r:id="rId10">
        <w:r>
          <w:rPr>
            <w:color w:val="0000EE"/>
            <w:u w:val="single"/>
          </w:rPr>
          <w:t>https://intellectdiscover.com/content/journals/10.1386/jgvw_00129_1</w:t>
        </w:r>
      </w:hyperlink>
      <w:r>
        <w:t xml:space="preserve"> - This academic article considers the queer possibilities of playing Dungeons &amp; Dragons at a slower pace. Its author draws on seven semi-structured interviews with D&amp;D players, who described taking time to explore places, engage in lengthy turn-based combat and hold detailed discussions. The paper calls this pattern “slow play”. It argues that wandering away from an established goal, delaying an outcome and spending time together can create a different experience of time and space. The analysis frames this as a way of resisting expectations that play should move quickly towards productivity or linear progress. The article therefore offers a scholarly perspective on how a D&amp;D campaign can be more than a sequence of battles: it can create room for conversation, shared imagination and social connection. Those qualities relate to the Metro writer’s description of collaborative storytelling and of gradually finding a place within a gaming group. The study does not claim that every D&amp;D session is queer or that role-playing has the same meaning for every participant. Rather, it uses interviews to examine how particular players understand the pace and structure of their play. It is a source about queer experience and D&amp;D, not independent evidence for the writer’s personal coming-out story.</w:t>
      </w:r>
      <w:r/>
    </w:p>
    <w:p>
      <w:pPr>
        <w:pStyle w:val="ListNumber"/>
        <w:spacing w:line="240" w:lineRule="auto"/>
        <w:ind w:left="720"/>
      </w:pPr>
      <w:r/>
      <w:hyperlink r:id="rId11">
        <w:r>
          <w:rPr>
            <w:color w:val="0000EE"/>
            <w:u w:val="single"/>
          </w:rPr>
          <w:t>https://journals.uu.se/IJRP/article/view/311</w:t>
        </w:r>
      </w:hyperlink>
      <w:r>
        <w:t xml:space="preserve"> - Giuseppe Femia’s peer-reviewed article examines how Dungeons &amp; Dragons might offer reparative possibilities for queer communities. Drawing on queer theory and an autoethnographic account of role-play, it considers how players can embody characters in worlds that are more accepting than their everyday surroundings. The author argues that this imaginative practice may allow players to represent themselves positively and explore alternatives to heteronormative expectations. The article also discusses safety tools designed for tabletop role-playing games, presenting them as ways to help create conditions in which players can take part more comfortably. Its focus is not simply on character backstories or fictional romance: it considers how play can make space for queer identity and possibility. This provides a useful connection to the Metro article’s account of a player finding courage and acceptance through a character, while remaining distinct from that personal testimony. The paper is a theoretical and autoethnographic contribution rather than a large survey of players, so it should not be treated as proof that every gaming group is safe or supportive. It supports the broader point that role-play can be used to imagine and enact more affirming ways of living.</w:t>
      </w:r>
      <w:r/>
    </w:p>
    <w:p>
      <w:pPr>
        <w:pStyle w:val="ListNumber"/>
        <w:spacing w:line="240" w:lineRule="auto"/>
        <w:ind w:left="720"/>
      </w:pPr>
      <w:r/>
      <w:hyperlink r:id="rId13">
        <w:r>
          <w:rPr>
            <w:color w:val="0000EE"/>
            <w:u w:val="single"/>
          </w:rPr>
          <w:t>https://www.gov.uk/government/publications/kenya-country-policy-and-information-notes/country-policy-and-information-note-sexual-orientation-and-gender-identity-and-expression-kenya-february-2025-accessible</w:t>
        </w:r>
      </w:hyperlink>
      <w:r>
        <w:t xml:space="preserve"> - This UK government country note provides information about the legal and social situation for lesbian, gay, bisexual, trans and intersex people in Kenya. It says consensual same-sex sexual activity between men is criminalised and can carry a prison sentence, while women may face arrest under other laws. Same-sex marriage is illegal, and organisations supporting LGBTI people operate within a restrictive civic environment. The note also reports that, despite rare prosecutions under the anti-LGBT laws, other legal provisions may be used to harass or arrest people. It describes discrimination and risks including violence, harassment, extortion and barriers in education, employment and healthcare. This context helps explain why the Metro writer describes learning to hide his sexuality while growing up in Nairobi. The note also makes clear that individual experiences vary and that cases should be considered on their own facts; it does not establish what happened to the writer personally. It is an official policy summary with a stated update date, intended to assess country conditions for decision-making. The source provides background for the article’s discussion of concealment and queer identity in Kenya, rather than evidence about Dungeons &amp; Dragons or the writer’s specific life.</w:t>
      </w:r>
      <w:r/>
    </w:p>
    <w:p>
      <w:pPr>
        <w:pStyle w:val="ListNumber"/>
        <w:spacing w:line="240" w:lineRule="auto"/>
        <w:ind w:left="720"/>
      </w:pPr>
      <w:r/>
      <w:hyperlink r:id="rId14">
        <w:r>
          <w:rPr>
            <w:color w:val="0000EE"/>
            <w:u w:val="single"/>
          </w:rPr>
          <w:t>https://aphrc.org/publication/lived-experiences-and-public-perceptions-of-sexual-and-gender-minorities-in-kenya/</w:t>
        </w:r>
      </w:hyperlink>
      <w:r>
        <w:t xml:space="preserve"> - The African Population and Health Research Center briefing summarises research into the lived experiences of sexual and gender minorities and public perceptions of LGBTQ+ issues in Kenya. It describes how legal restrictions, social prejudice and heteronormative norms can contribute to harassment, discrimination and violence. The research discussed in the briefing examined experiences in Nairobi, Eldoret, Kisumu and Mombasa, including stigma, human rights abuses, wellbeing, the legal environment and access to support services. It also notes that there is limited data on LGBTQ+ people’s lived experiences, making further study important. This source provides relevant social context for the Metro writer’s account of growing up in Nairobi without language or an open space to discuss his sexuality. It does not verify the writer’s personal history, nor does it suggest that all queer people in Kenya share the same experiences. Instead, it reports broader findings on exclusion and challenges faced by sexual and gender minorities. The briefing is particularly useful alongside the first-person article because it distinguishes an individual story from wider research findings. Its evidence concerns Kenya’s LGBTQ+ community and public attitudes, not role-playing games or the effect of a particular D&amp;D group.</w:t>
      </w:r>
      <w:r/>
    </w:p>
    <w:p>
      <w:pPr>
        <w:pStyle w:val="ListNumber"/>
        <w:spacing w:line="240" w:lineRule="auto"/>
        <w:ind w:left="720"/>
      </w:pPr>
      <w:r/>
      <w:hyperlink r:id="rId12">
        <w:r>
          <w:rPr>
            <w:color w:val="0000EE"/>
            <w:u w:val="single"/>
          </w:rPr>
          <w:t>https://digitalcommons.ncf.edu/theses_etds/6033/</w:t>
        </w:r>
      </w:hyperlink>
      <w:r>
        <w:t xml:space="preserve"> - This undergraduate thesis investigates how Dungeons &amp; Dragons can support queer worldbuilding and community. The author conducted a four-week campaign with four LGBTQ+ students, taking part as the Dungeon Master and using interviews before and after the game, alongside material shared in a group Discord server. The thesis identifies identity exploration, the development of a shared cultural language around queerness, and the experience of sharing physical and temporal space as significant themes. It argues that the game’s collaborative storytelling allows players and Dungeon Masters to rewrite stories and imagine worlds differently. This is relevant to the Metro article’s description of D&amp;D as collective storytelling and as a place where a queer player could practise being more open and brave. The thesis offers a small-scale qualitative study rather than a claim about all players or all gaming groups. Its findings therefore illuminate possible ways tabletop role-playing can foster connection and identity exploration without proving that every group will be welcoming. It is a useful companion to the personal account because it addresses the relationship between D&amp;D, queer identity and community-building directly, while using a separate group of participants and a different research method.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l.digra.org/index.php/dl/article/view/2455" TargetMode="External"/><Relationship Id="rId10" Type="http://schemas.openxmlformats.org/officeDocument/2006/relationships/hyperlink" Target="https://intellectdiscover.com/content/journals/10.1386/jgvw_00129_1" TargetMode="External"/><Relationship Id="rId11" Type="http://schemas.openxmlformats.org/officeDocument/2006/relationships/hyperlink" Target="https://journals.uu.se/IJRP/article/view/311" TargetMode="External"/><Relationship Id="rId12" Type="http://schemas.openxmlformats.org/officeDocument/2006/relationships/hyperlink" Target="https://digitalcommons.ncf.edu/theses_etds/6033/" TargetMode="External"/><Relationship Id="rId13" Type="http://schemas.openxmlformats.org/officeDocument/2006/relationships/hyperlink" Target="https://www.gov.uk/government/publications/kenya-country-policy-and-information-notes/country-policy-and-information-note-sexual-orientation-and-gender-identity-and-expression-kenya-february-2025-accessible" TargetMode="External"/><Relationship Id="rId14" Type="http://schemas.openxmlformats.org/officeDocument/2006/relationships/hyperlink" Target="https://aphrc.org/publication/lived-experiences-and-public-perceptions-of-sexual-and-gender-minorities-in-kenya/" TargetMode="External"/><Relationship Id="rId15" Type="http://schemas.openxmlformats.org/officeDocument/2006/relationships/hyperlink" Target="https://metro.co.uk/2026/11/08/dungeons-dragons-allowed-embrace-queer-identity-2973169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