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How 1969 Newspapers Reported the Stonewall Riots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look back at Stonewall newspaper coverage shows how queer people were mocked, overlooked and occasionally heard in 1969. The contrast between sensational headlines and more detailed accounts offers a vivid record of the era’s assumptions, as well as a reminder that who gets to tell a story can shape how it’s remembered.</w:t>
      </w:r>
      <w:r/>
    </w:p>
    <w:p>
      <w:pPr>
        <w:pStyle w:val="Heading2"/>
      </w:pPr>
      <w:r>
        <w:t>Stonewall made headlines, but not on equal terms</w:t>
      </w:r>
      <w:r/>
    </w:p>
    <w:p>
      <w:r/>
      <w:r>
        <w:t xml:space="preserve">The first newspaper accounts of the Stonewall uprising could be startlingly different in tone. One New York Daily News headline framed the raid as a spectacle, while a short New York Times report described a clash through the police account. Even at a glance, the language tells its own story. </w:t>
      </w:r>
      <w:hyperlink r:id="rId9">
        <w:r>
          <w:rPr>
            <w:color w:val="0000EE"/>
            <w:u w:val="single"/>
          </w:rPr>
          <w:t>[2]</w:t>
        </w:r>
      </w:hyperlink>
      <w:r>
        <w:t xml:space="preserve">, </w:t>
      </w:r>
      <w:hyperlink r:id="rId10">
        <w:r>
          <w:rPr>
            <w:color w:val="0000EE"/>
            <w:u w:val="single"/>
          </w:rPr>
          <w:t>[5]</w:t>
        </w:r>
      </w:hyperlink>
      <w:r/>
    </w:p>
    <w:p>
      <w:r/>
      <w:r>
        <w:t xml:space="preserve">Coverage mattered partly because queer people rarely received sustained attention in mainstream newspapers. The Library of Congress’s retrospective on Stonewall’s 50th anniversary describes the press as an important record of how the uprising entered public view, even when the reporting reflected the prejudices of its time. </w:t>
      </w:r>
      <w:hyperlink r:id="rId9">
        <w:r>
          <w:rPr>
            <w:color w:val="0000EE"/>
            <w:u w:val="single"/>
          </w:rPr>
          <w:t>[2]</w:t>
        </w:r>
      </w:hyperlink>
      <w:r>
        <w:t xml:space="preserve">, </w:t>
      </w:r>
      <w:hyperlink r:id="rId11">
        <w:r>
          <w:rPr>
            <w:color w:val="0000EE"/>
            <w:u w:val="single"/>
          </w:rPr>
          <w:t>[4]</w:t>
        </w:r>
      </w:hyperlink>
      <w:r/>
    </w:p>
    <w:p>
      <w:pPr>
        <w:pStyle w:val="Heading2"/>
      </w:pPr>
      <w:r>
        <w:t>A headline built for shock</w:t>
      </w:r>
      <w:r/>
    </w:p>
    <w:p>
      <w:r/>
      <w:r>
        <w:t xml:space="preserve">The Daily News report by Jerry Lisker leaned heavily on flamboyant imagery and ridicule. Its language treated the bar’s patrons as characters in a comic scene, rather than people responding to a police raid. It also used descriptions of gender expression that read as demeaning today. </w:t>
      </w:r>
      <w:hyperlink r:id="rId10">
        <w:r>
          <w:rPr>
            <w:color w:val="0000EE"/>
            <w:u w:val="single"/>
          </w:rPr>
          <w:t>[5]</w:t>
        </w:r>
      </w:hyperlink>
      <w:r>
        <w:t xml:space="preserve">, </w:t>
      </w:r>
      <w:hyperlink r:id="rId12">
        <w:r>
          <w:rPr>
            <w:color w:val="0000EE"/>
            <w:u w:val="single"/>
          </w:rPr>
          <w:t>[6]</w:t>
        </w:r>
      </w:hyperlink>
      <w:r/>
    </w:p>
    <w:p>
      <w:r/>
      <w:r>
        <w:t xml:space="preserve">That theatrical style is part of why the article remains striking. But its colourful details should be approached with care: the account used dramatic storytelling, and Lisker was not an eyewitness to the events he described. The result is less a neutral record than a revealing example of how a journalist could turn queer people into a punchline. </w:t>
      </w:r>
      <w:hyperlink r:id="rId10">
        <w:r>
          <w:rPr>
            <w:color w:val="0000EE"/>
            <w:u w:val="single"/>
          </w:rPr>
          <w:t>[5]</w:t>
        </w:r>
      </w:hyperlink>
      <w:r>
        <w:t xml:space="preserve">, </w:t>
      </w:r>
      <w:hyperlink r:id="rId12">
        <w:r>
          <w:rPr>
            <w:color w:val="0000EE"/>
            <w:u w:val="single"/>
          </w:rPr>
          <w:t>[6]</w:t>
        </w:r>
      </w:hyperlink>
      <w:r/>
    </w:p>
    <w:p>
      <w:pPr>
        <w:pStyle w:val="Heading2"/>
      </w:pPr>
      <w:r>
        <w:t>The Village Voice offered a closer view</w:t>
      </w:r>
      <w:r/>
    </w:p>
    <w:p>
      <w:r/>
      <w:r>
        <w:t xml:space="preserve">Lucian K. Truscott IV’s Village Voice report took a different approach, following events over several nights and describing the streets around the Stonewall Inn. Its account gives readers a stronger sense of the crowd, the police response and the way the protest developed beyond the initial raid. </w:t>
      </w:r>
      <w:hyperlink r:id="rId13">
        <w:r>
          <w:rPr>
            <w:color w:val="0000EE"/>
            <w:u w:val="single"/>
          </w:rPr>
          <w:t>[3]</w:t>
        </w:r>
      </w:hyperlink>
      <w:r>
        <w:t xml:space="preserve">, </w:t>
      </w:r>
      <w:hyperlink r:id="rId11">
        <w:r>
          <w:rPr>
            <w:color w:val="0000EE"/>
            <w:u w:val="single"/>
          </w:rPr>
          <w:t>[4]</w:t>
        </w:r>
      </w:hyperlink>
      <w:r/>
    </w:p>
    <w:p>
      <w:r/>
      <w:r>
        <w:t xml:space="preserve">But closer observation didn’t mean modern standards of respect. The article also used slurs and language that treated queer identity as spectacle. Its value today lies in the detail it preserves, alongside the uncomfortable reminder that even reporting sympathetic to the uprising could carry the era’s prejudices. </w:t>
      </w:r>
      <w:hyperlink r:id="rId13">
        <w:r>
          <w:rPr>
            <w:color w:val="0000EE"/>
            <w:u w:val="single"/>
          </w:rPr>
          <w:t>[3]</w:t>
        </w:r>
      </w:hyperlink>
      <w:r>
        <w:t xml:space="preserve">, </w:t>
      </w:r>
      <w:hyperlink r:id="rId11">
        <w:r>
          <w:rPr>
            <w:color w:val="0000EE"/>
            <w:u w:val="single"/>
          </w:rPr>
          <w:t>[4]</w:t>
        </w:r>
      </w:hyperlink>
      <w:r/>
    </w:p>
    <w:p>
      <w:pPr>
        <w:pStyle w:val="Heading2"/>
      </w:pPr>
      <w:r>
        <w:t>A newspaper record is not the whole story</w:t>
      </w:r>
      <w:r/>
    </w:p>
    <w:p>
      <w:r/>
      <w:r>
        <w:t xml:space="preserve">The short New York Times article was more restrained, but relied on police sources and focused on arrests, injuries and property damage. It gave little space to the perspective of the people who gathered outside the bar, or to what the confrontation meant to them. </w:t>
      </w:r>
      <w:hyperlink r:id="rId9">
        <w:r>
          <w:rPr>
            <w:color w:val="0000EE"/>
            <w:u w:val="single"/>
          </w:rPr>
          <w:t>[2]</w:t>
        </w:r>
      </w:hyperlink>
      <w:r>
        <w:t xml:space="preserve">, </w:t>
      </w:r>
      <w:hyperlink r:id="rId11">
        <w:r>
          <w:rPr>
            <w:color w:val="0000EE"/>
            <w:u w:val="single"/>
          </w:rPr>
          <w:t>[4]</w:t>
        </w:r>
      </w:hyperlink>
      <w:r/>
    </w:p>
    <w:p>
      <w:r/>
      <w:r>
        <w:t xml:space="preserve">Read together, these reports show why archives need context. A newspaper clipping can preserve names, dates and descriptions, but it can also leave out voices or distort events through bias. The National Park Service’s teaching materials offer one way to place Stonewall within a broader historical account, rather than treating any single article as the definitive version. </w:t>
      </w:r>
      <w:hyperlink r:id="rId9">
        <w:r>
          <w:rPr>
            <w:color w:val="0000EE"/>
            <w:u w:val="single"/>
          </w:rPr>
          <w:t>[2]</w:t>
        </w:r>
      </w:hyperlink>
      <w:r>
        <w:t xml:space="preserve">, </w:t>
      </w:r>
      <w:hyperlink r:id="rId14">
        <w:r>
          <w:rPr>
            <w:color w:val="0000EE"/>
            <w:u w:val="single"/>
          </w:rPr>
          <w:t>[7]</w:t>
        </w:r>
      </w:hyperlink>
      <w:r/>
    </w:p>
    <w:p>
      <w:pPr>
        <w:pStyle w:val="Heading2"/>
      </w:pPr>
      <w:r>
        <w:t>What Stonewall coverage says about journalism now</w:t>
      </w:r>
      <w:r/>
    </w:p>
    <w:p>
      <w:r/>
      <w:r>
        <w:t xml:space="preserve">The language has changed, and journalism guidance from organisations such as GLAAD and NLGJA has helped reporters approach LGBTQ+ stories with greater care. Yet the old clippings still raise useful questions: who is quoted, whose account is treated as authoritative, and whether people are described as full human beings or reduced to a label. </w:t>
      </w:r>
      <w:hyperlink r:id="rId9">
        <w:r>
          <w:rPr>
            <w:color w:val="0000EE"/>
            <w:u w:val="single"/>
          </w:rPr>
          <w:t>[2]</w:t>
        </w:r>
      </w:hyperlink>
      <w:r>
        <w:t xml:space="preserve">, </w:t>
      </w:r>
      <w:hyperlink r:id="rId12">
        <w:r>
          <w:rPr>
            <w:color w:val="0000EE"/>
            <w:u w:val="single"/>
          </w:rPr>
          <w:t>[6]</w:t>
        </w:r>
      </w:hyperlink>
      <w:r/>
    </w:p>
    <w:p>
      <w:r/>
      <w:r>
        <w:t xml:space="preserve">That’s why Stonewall’s newspaper coverage is more than a historical curiosity. It captures both the limits of mainstream recognition in 1969 and the determination of people who made their presence impossible to ignore. A humane account doesn’t just record a turning point; it lets the people at its centre speak. </w:t>
      </w:r>
      <w:hyperlink r:id="rId13">
        <w:r>
          <w:rPr>
            <w:color w:val="0000EE"/>
            <w:u w:val="single"/>
          </w:rPr>
          <w:t>[3]</w:t>
        </w:r>
      </w:hyperlink>
      <w:r>
        <w:t xml:space="preserve">, </w:t>
      </w:r>
      <w:hyperlink r:id="rId11">
        <w:r>
          <w:rPr>
            <w:color w:val="0000EE"/>
            <w:u w:val="single"/>
          </w:rPr>
          <w:t>[4]</w:t>
        </w:r>
      </w:hyperlink>
      <w:r/>
    </w:p>
    <w:p>
      <w:r/>
      <w:r>
        <w:t>The old headlines are worth reading, but the voices behind them deserve to be read with care.</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10">
        <w:r>
          <w:rPr>
            <w:color w:val="0000EE"/>
            <w:u w:val="single"/>
          </w:rPr>
          <w:t>[5]</w:t>
        </w:r>
      </w:hyperlink>
      <w:r>
        <w:t xml:space="preserve">, </w:t>
      </w:r>
      <w:hyperlink r:id="rId12">
        <w:r>
          <w:rPr>
            <w:color w:val="0000EE"/>
            <w:u w:val="single"/>
          </w:rPr>
          <w:t>[6]</w:t>
        </w:r>
      </w:hyperlink>
      <w:r>
        <w:t xml:space="preserve">- Paragraph 4: </w:t>
      </w:r>
      <w:hyperlink r:id="rId10">
        <w:r>
          <w:rPr>
            <w:color w:val="0000EE"/>
            <w:u w:val="single"/>
          </w:rPr>
          <w:t>[5]</w:t>
        </w:r>
      </w:hyperlink>
      <w:r>
        <w:t xml:space="preserve">, </w:t>
      </w:r>
      <w:hyperlink r:id="rId12">
        <w:r>
          <w:rPr>
            <w:color w:val="0000EE"/>
            <w:u w:val="single"/>
          </w:rPr>
          <w:t>[6]</w:t>
        </w:r>
      </w:hyperlink>
      <w:r>
        <w:t xml:space="preserve">- Paragraph 5: </w:t>
      </w:r>
      <w:hyperlink r:id="rId13">
        <w:r>
          <w:rPr>
            <w:color w:val="0000EE"/>
            <w:u w:val="single"/>
          </w:rPr>
          <w:t>[3]</w:t>
        </w:r>
      </w:hyperlink>
      <w:r>
        <w:t xml:space="preserve">, </w:t>
      </w:r>
      <w:hyperlink r:id="rId11">
        <w:r>
          <w:rPr>
            <w:color w:val="0000EE"/>
            <w:u w:val="single"/>
          </w:rPr>
          <w:t>[4]</w:t>
        </w:r>
      </w:hyperlink>
      <w:r>
        <w:t xml:space="preserve">- Paragraph 6: </w:t>
      </w:r>
      <w:hyperlink r:id="rId13">
        <w:r>
          <w:rPr>
            <w:color w:val="0000EE"/>
            <w:u w:val="single"/>
          </w:rPr>
          <w:t>[3]</w:t>
        </w:r>
      </w:hyperlink>
      <w:r>
        <w:t xml:space="preserve">, </w:t>
      </w:r>
      <w:hyperlink r:id="rId11">
        <w:r>
          <w:rPr>
            <w:color w:val="0000EE"/>
            <w:u w:val="single"/>
          </w:rPr>
          <w:t>[4]</w:t>
        </w:r>
      </w:hyperlink>
      <w:r>
        <w:t xml:space="preserve">- Paragraph 7: </w:t>
      </w:r>
      <w:hyperlink r:id="rId9">
        <w:r>
          <w:rPr>
            <w:color w:val="0000EE"/>
            <w:u w:val="single"/>
          </w:rPr>
          <w:t>[2]</w:t>
        </w:r>
      </w:hyperlink>
      <w:r>
        <w:t xml:space="preserve">, </w:t>
      </w:r>
      <w:hyperlink r:id="rId11">
        <w:r>
          <w:rPr>
            <w:color w:val="0000EE"/>
            <w:u w:val="single"/>
          </w:rPr>
          <w:t>[4]</w:t>
        </w:r>
      </w:hyperlink>
      <w:r>
        <w:t xml:space="preserve">- Paragraph 8: </w:t>
      </w:r>
      <w:hyperlink r:id="rId9">
        <w:r>
          <w:rPr>
            <w:color w:val="0000EE"/>
            <w:u w:val="single"/>
          </w:rPr>
          <w:t>[2]</w:t>
        </w:r>
      </w:hyperlink>
      <w:r>
        <w:t xml:space="preserve">, </w:t>
      </w:r>
      <w:hyperlink r:id="rId14">
        <w:r>
          <w:rPr>
            <w:color w:val="0000EE"/>
            <w:u w:val="single"/>
          </w:rPr>
          <w:t>[7]</w:t>
        </w:r>
      </w:hyperlink>
      <w:r>
        <w:t xml:space="preserve">- Paragraph 9: </w:t>
      </w:r>
      <w:hyperlink r:id="rId9">
        <w:r>
          <w:rPr>
            <w:color w:val="0000EE"/>
            <w:u w:val="single"/>
          </w:rPr>
          <w:t>[2]</w:t>
        </w:r>
      </w:hyperlink>
      <w:r>
        <w:t xml:space="preserve">, </w:t>
      </w:r>
      <w:hyperlink r:id="rId12">
        <w:r>
          <w:rPr>
            <w:color w:val="0000EE"/>
            <w:u w:val="single"/>
          </w:rPr>
          <w:t>[6]</w:t>
        </w:r>
      </w:hyperlink>
      <w:r>
        <w:t xml:space="preserve">- Paragraph 10: </w:t>
      </w:r>
      <w:hyperlink r:id="rId13">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https://www.lgbtqnation.com/2026/11/how-newspapers-reported-the-stonewall-riots/</w:t>
        </w:r>
      </w:hyperlink>
      <w:r>
        <w:t xml:space="preserve"> - Please view link - unable to able to access data</w:t>
      </w:r>
      <w:r/>
    </w:p>
    <w:p>
      <w:pPr>
        <w:pStyle w:val="ListNumber"/>
        <w:spacing w:line="240" w:lineRule="auto"/>
        <w:ind w:left="720"/>
      </w:pPr>
      <w:r/>
      <w:hyperlink r:id="rId9">
        <w:r>
          <w:rPr>
            <w:color w:val="0000EE"/>
            <w:u w:val="single"/>
          </w:rPr>
          <w:t>https://blogs.loc.gov/headlinesandheroes/2019/06/stonewall-50-in-newspapers/</w:t>
        </w:r>
      </w:hyperlink>
      <w:r>
        <w:t xml:space="preserve"> - The Library of Congress article places Stonewall in the history of American newspapers and the LGBTQ+ rights movement. It describes the uprising as a series of protests that began in the early hours of 28 June 1969 at the Stonewall Inn in Greenwich Village, and notes that the events became a turning point in the movement. The article explains that the first anniversary was marked on 28 June 1970 by Christopher Street Liberation Day, including what it identifies as the first Gay Pride march in the United States. It also draws attention to the contrast between mainstream and alternative press coverage. The Village Voice, Rat Subterranean News, East Village Other, Berkeley Barb and other underground newspapers covered Stonewall, while alternative publications often reported on subjects that mainstream newspapers overlooked. The Library’s collections preserve examples of that coverage, including later reports and images from alternative newspapers. This source supports the article’s account of Stonewall’s dates, significance, anniversary commemoration and the importance of newspapers in shaping the record. It also offers readers a route into archival material, helping distinguish contemporary reporting from later historical interpretations. Its focus is on newspaper collections and media context rather than a detailed evaluation of every journalist’s language or accuracy.</w:t>
      </w:r>
      <w:r/>
    </w:p>
    <w:p>
      <w:pPr>
        <w:pStyle w:val="ListNumber"/>
        <w:spacing w:line="240" w:lineRule="auto"/>
        <w:ind w:left="720"/>
      </w:pPr>
      <w:r/>
      <w:hyperlink r:id="rId13">
        <w:r>
          <w:rPr>
            <w:color w:val="0000EE"/>
            <w:u w:val="single"/>
          </w:rPr>
          <w:t>https://www.villagevoice.com/gay-power-comes-to-sheridan-square/</w:t>
        </w:r>
      </w:hyperlink>
      <w:r>
        <w:t xml:space="preserve"> - This is the Village Voice’s archived article “Gay Power Comes to Sheridan Square”, written by Lucian K. Truscott IV and originally published on 3 July 1969. It provides a contemporary account of the demonstrations and clashes around the Stonewall Inn after police raids. Truscott describes the crowd gathering as people were released from the bar, the arrest of patrons and staff, and the shift from a festive street scene to confrontation. His account includes details of objects thrown, police reinforcements, the use of a fire hose, the barricading of the bar and later protests. It also describes slogans and gestures of public defiance, while reporting the uneven atmosphere across several nights. The article is valuable as a primary source because its language, tone and perspective show how an alternative newspaper portrayed the uprising at the time. It is not a neutral modern history: Truscott uses period terminology, including offensive slurs, and a colourful, sometimes theatrical style. Read alongside later scholarship, it helps illustrate both the presence of eyewitness reporting and the prejudices embedded in contemporary coverage. The piece also records Allen Ginsberg’s reaction and the emerging language of “gay power”, supporting the account of Stonewall as a moment of visible political assertion.</w:t>
      </w:r>
      <w:r/>
    </w:p>
    <w:p>
      <w:pPr>
        <w:pStyle w:val="ListNumber"/>
        <w:spacing w:line="240" w:lineRule="auto"/>
        <w:ind w:left="720"/>
      </w:pPr>
      <w:r/>
      <w:hyperlink r:id="rId11">
        <w:r>
          <w:rPr>
            <w:color w:val="0000EE"/>
            <w:u w:val="single"/>
          </w:rPr>
          <w:t>https://www.outhistory.org/exhibits/show/docsw/docsw5</w:t>
        </w:r>
      </w:hyperlink>
      <w:r>
        <w:t xml:space="preserve"> - Historian Marc Stein’s OutHistory bibliography gathers primary sources relating to the Stonewall riots and their aftermath. Its section on mainstream media lists contemporary coverage from newspapers including the New York Post, New York Daily News, The New York Times and The Washington Post. It identifies the 29 June 1969 Times report “4 Policemen Hurt in ‘Village’ Raid” and Jerry Lisker’s 6 July Daily News article “Homo Nest Raided, Queen Bees Are Stinging Mad”, among other reports. The bibliography also records alternative and underground press coverage, including Lucian Truscott IV’s Village Voice article “Gay Power Comes to Sheridan Square”, published on 3 July, and Howard Smith’s account in the same issue. Further entries document newsletters and publications produced by LGBTQ+ organisations and activists, giving a broader view than mainstream newspaper accounts alone. This source is particularly useful for checking publication titles, dates, outlets and authorship, and for locating different kinds of contemporary evidence. It does not itself reproduce or assess every article; rather, it serves as a guide to the documentary record. Its citations support comparisons between the restrained or police-sourced reporting of some mainstream outlets and the more detailed, sometimes problematic coverage found in alternative newspapers.</w:t>
      </w:r>
      <w:r/>
    </w:p>
    <w:p>
      <w:pPr>
        <w:pStyle w:val="ListNumber"/>
        <w:spacing w:line="240" w:lineRule="auto"/>
        <w:ind w:left="720"/>
      </w:pPr>
      <w:r/>
      <w:hyperlink r:id="rId10">
        <w:r>
          <w:rPr>
            <w:color w:val="0000EE"/>
            <w:u w:val="single"/>
          </w:rPr>
          <w:t>https://stonewallforever.org/homo-nest-raided-queen-bees-are-stinging-mad-from-new-york-daily-news-july-6-1969/</w:t>
        </w:r>
      </w:hyperlink>
      <w:r>
        <w:t xml:space="preserve"> - Stonewall Forever presents an archival item identified as the front page of the New York Daily News from 6 July 1969, featuring Jerry Lisker’s headline “Homo Nest Raided, Queen Bees Are Stinging Mad”. The displayed historical headline is itself evidence of the mocking, sensational framing used by a major newspaper in its coverage of the Stonewall uprising. The page identifies the image as coming from the New York Daily News Archive/Getty Images and places it within the site’s Stonewall Riots collection. This makes the page a useful visual primary-source reference for the article’s discussion of the Daily News report and its language. The page is brief and does not provide a full transcription or a detailed historical analysis of the story, so it should be used to verify the headline and the newspaper artifact rather than as a comprehensive account of Lisker’s reporting. In combination with newspaper transcriptions and scholarly bibliographies, it helps readers see how the item appeared in print and assess its tone directly. The original headline uses a slur and demeaning metaphors; it is included here as historical evidence, not endorsed language. The page’s collection context also connects the newspaper item to broader documentation of Stonewall.</w:t>
      </w:r>
      <w:r/>
    </w:p>
    <w:p>
      <w:pPr>
        <w:pStyle w:val="ListNumber"/>
        <w:spacing w:line="240" w:lineRule="auto"/>
        <w:ind w:left="720"/>
      </w:pPr>
      <w:r/>
      <w:hyperlink r:id="rId12">
        <w:r>
          <w:rPr>
            <w:color w:val="0000EE"/>
            <w:u w:val="single"/>
          </w:rPr>
          <w:t>https://nyupress.org/blog/2019/08/09/stonewall-and-queens/</w:t>
        </w:r>
      </w:hyperlink>
      <w:r>
        <w:t xml:space="preserve"> - This NYU Press article examines Stonewall’s historical context and cautions against treating the uprising as an isolated starting point for LGBTQ+ activism. Its discussion connects the events of 1969 with a longer history of queer life, public representation and political organising. The page is useful alongside accounts of newspaper coverage because it considers how people described themselves and how terms such as “queen” can carry different meanings depending on speaker, setting and period. It also discusses the uneven attention Stonewall received in the press and the significance of what newspapers chose to cover or omit. Rather than relying solely on later celebratory narratives, the article encourages readers to consider the varied communities and histories that shaped queer political life. This context helps qualify claims about journalists’ understanding of gender non-conformity and the terminology used by Stonewall patrons: period language was diverse, but that does not erase the impact of mockery or hostile reporting. As an academic-press contribution, it offers historical framing that complements the original newspaper articles and archival lists. It supports a careful reading of the coverage as both evidence of public recognition and a record of the social biases of its time, while reminding readers that Stonewall belonged to a wider movement and history.</w:t>
      </w:r>
      <w:r/>
    </w:p>
    <w:p>
      <w:pPr>
        <w:pStyle w:val="ListNumber"/>
        <w:spacing w:line="240" w:lineRule="auto"/>
        <w:ind w:left="720"/>
      </w:pPr>
      <w:r/>
      <w:hyperlink r:id="rId14">
        <w:r>
          <w:rPr>
            <w:color w:val="0000EE"/>
            <w:u w:val="single"/>
          </w:rPr>
          <w:t>https://www.nps.gov/common/uploads/teachers/lessonplans/998_051_NPS%20High%20School%20Guide_FINAL.pdf</w:t>
        </w:r>
      </w:hyperlink>
      <w:r>
        <w:t xml:space="preserve"> - The National Park Service teaching guide includes historical materials related to the Stonewall uprising, including a reproduction of a Village Voice page with Lucian Truscott IV’s “Gay Power Comes to Sheridan Square”. It places the article among other contemporaneous newspaper content, allowing students to examine the visual presentation and wording of coverage from the period. The guide is designed for education rather than as a standalone scholarly history, but its use of primary-source artefacts supports close analysis of how newspapers represented the events and the people involved. The material can help readers compare headlines, photographs, captions and article text, and consider how publication choices shaped public understanding. Used with the original Village Voice archive and historical bibliographies, the PDF is a useful corroborating source for the existence and presentation of the 1969 coverage. It also underlines the value of examining original documents rather than relying only on later summaries. The guide does not validate every claim made in the supplied article, nor does it provide a complete account of all newspapers’ reporting; its strength is the inclusion of reproductions and teaching context. Together with archival and historical sources, it supports a nuanced discussion of Stonewall’s media record, including the tension between detailed reporting, sensational framing and the prejudices prevalent in 1969.</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gs.loc.gov/headlinesandheroes/2019/06/stonewall-50-in-newspapers/" TargetMode="External"/><Relationship Id="rId10" Type="http://schemas.openxmlformats.org/officeDocument/2006/relationships/hyperlink" Target="https://stonewallforever.org/homo-nest-raided-queen-bees-are-stinging-mad-from-new-york-daily-news-july-6-1969/" TargetMode="External"/><Relationship Id="rId11" Type="http://schemas.openxmlformats.org/officeDocument/2006/relationships/hyperlink" Target="https://www.outhistory.org/exhibits/show/docsw/docsw5" TargetMode="External"/><Relationship Id="rId12" Type="http://schemas.openxmlformats.org/officeDocument/2006/relationships/hyperlink" Target="https://nyupress.org/blog/2019/08/09/stonewall-and-queens/" TargetMode="External"/><Relationship Id="rId13" Type="http://schemas.openxmlformats.org/officeDocument/2006/relationships/hyperlink" Target="https://www.villagevoice.com/gay-power-comes-to-sheridan-square/" TargetMode="External"/><Relationship Id="rId14" Type="http://schemas.openxmlformats.org/officeDocument/2006/relationships/hyperlink" Target="https://www.nps.gov/common/uploads/teachers/lessonplans/998_051_NPS%20High%20School%20Guide_FINAL.pdf" TargetMode="External"/><Relationship Id="rId15" Type="http://schemas.openxmlformats.org/officeDocument/2006/relationships/hyperlink" Target="https://www.lgbtqnation.com/2026/11/how-newspapers-reported-the-stonewall-rio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