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Gender Policy After the Midterms: What Parents Should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The debate over gender policy has returned to the political spotlight after the midterms, but the practical questions reach well beyond Washington. Parents, schools and healthcare providers are navigating changing federal rules, court decisions and local policies, making it worth separating verified developments from heated campaign claims.</w:t>
      </w:r>
      <w:r/>
    </w:p>
    <w:p>
      <w:pPr>
        <w:pStyle w:val="Heading2"/>
      </w:pPr>
      <w:r>
        <w:t>Gender policy remains a live political fault line</w:t>
      </w:r>
      <w:r/>
    </w:p>
    <w:p>
      <w:r/>
      <w:r>
        <w:t>The midterm results have renewed debate over gender policy in the United States. The Associated Press’s election coverage offers a broader picture of the contest for Congress, a useful counterweight to treating any one result as a final verdict on where the country stands. (Sources: AP)</w:t>
      </w:r>
      <w:r/>
    </w:p>
    <w:p>
      <w:r/>
      <w:r>
        <w:t>That distinction matters. Elections can shift the balance of power, but they don't settle every question about healthcare, school rules or access to facilities. Those issues are shaped by legislation, executive action and court rulings as well as voters’ changing priorities. (Sources: AP, White House)</w:t>
      </w:r>
      <w:r/>
    </w:p>
    <w:p>
      <w:pPr>
        <w:pStyle w:val="Heading2"/>
      </w:pPr>
      <w:r>
        <w:t>Federal action has changed the policy landscape</w:t>
      </w:r>
      <w:r/>
    </w:p>
    <w:p>
      <w:r/>
      <w:r>
        <w:t>In January 2025, the White House issued an executive order directing federal agencies to adopt the administration’s approach to sex and gender in government policy. It marked a significant change in federal direction, though its effects depend on how agencies apply it and how courts interpret related disputes. (Sources: White House)</w:t>
      </w:r>
      <w:r/>
    </w:p>
    <w:p>
      <w:r/>
      <w:r>
        <w:t>Healthcare has also been a focus. The Department of Health and Human Services published a report examining insurance coding for procedures it describes as sex-rejecting procedures for minors. The report is an official statement of the department’s position, not a substitute for independent evaluation of every clinical question it raises. (Sources: HHS)</w:t>
      </w:r>
      <w:r/>
    </w:p>
    <w:p>
      <w:pPr>
        <w:pStyle w:val="Heading2"/>
      </w:pPr>
      <w:r>
        <w:t>Hospitals are weighing the risks and rules</w:t>
      </w:r>
      <w:r/>
    </w:p>
    <w:p>
      <w:r/>
      <w:r>
        <w:t>Some hospitals have stopped providing gender-related care to minors amid changing federal pressure and uncertainty, STAT reported. For families, that can mean checking directly with providers about available services, referral options and whether policies have changed. (Sources: STAT)</w:t>
      </w:r>
      <w:r/>
    </w:p>
    <w:p>
      <w:r/>
      <w:r>
        <w:t>And the picture isn't simply a matter of one rule applying everywhere. Federal policy, state law, court orders and individual providers’ decisions can all affect what care is available. If a family is affected, ask a qualified clinician what has changed locally and seek clear information about any decisions involving a child's health. (Sources: White House, HHS, STAT)</w:t>
      </w:r>
      <w:r/>
    </w:p>
    <w:p>
      <w:pPr>
        <w:pStyle w:val="Heading2"/>
      </w:pPr>
      <w:r>
        <w:t>Court rulings add another layer</w:t>
      </w:r>
      <w:r/>
    </w:p>
    <w:p>
      <w:r/>
      <w:r>
        <w:t>The Supreme Court’s opinion in a case involving state restrictions on gender-related medical care for minors has added an important legal dimension. The ruling should be read on its own terms: it addresses the legal dispute before the court, rather than resolving every question about medical practice or school policy. (Sources: Supreme Court)</w:t>
      </w:r>
      <w:r/>
    </w:p>
    <w:p>
      <w:r/>
      <w:r>
        <w:t>For parents, that makes reliable, specific information more useful than broad claims online. Check the wording of the court decision, current state rules and guidance from relevant agencies, and speak with a qualified professional when decisions concern a child’s care. (Sources: Supreme Court, White House, HHS)</w:t>
      </w:r>
      <w:r/>
    </w:p>
    <w:p>
      <w:pPr>
        <w:pStyle w:val="Heading2"/>
      </w:pPr>
      <w:r>
        <w:t>What families can do next</w:t>
      </w:r>
      <w:r/>
    </w:p>
    <w:p>
      <w:r/>
      <w:r>
        <w:t>Start with the policy that applies where you live. Ask your school or healthcare provider for written guidance, note when it was issued, and check whether it has been updated. Rules can change quickly, and a headline about federal action may not describe the options available in a particular state or institution. (Sources: White House, HHS, STAT)</w:t>
      </w:r>
      <w:r/>
    </w:p>
    <w:p>
      <w:r/>
      <w:r>
        <w:t>The political temperature may rise and fall, but families still need clear answers about practical matters. A calm conversation with a school, clinician or local authority is often a better first step than assuming a national announcement settles the issue. (Sources: AP, Supreme Court, STAT)</w:t>
      </w:r>
      <w:r/>
    </w:p>
    <w:p>
      <w:r/>
      <w:r>
        <w:t>It's worth checking the local facts before drawing conclusions from the national debate.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Paragraph 2: </w:t>
      </w:r>
      <w:hyperlink r:id="rId10">
        <w:r>
          <w:rPr>
            <w:color w:val="0000EE"/>
            <w:u w:val="single"/>
          </w:rPr>
          <w:t>[5]</w:t>
        </w:r>
      </w:hyperlink>
      <w:r>
        <w:t xml:space="preserve">, </w:t>
      </w:r>
      <w:hyperlink r:id="rId11">
        <w:r>
          <w:rPr>
            <w:color w:val="0000EE"/>
            <w:u w:val="single"/>
          </w:rPr>
          <w:t>[3]</w:t>
        </w:r>
      </w:hyperlink>
      <w:r>
        <w:t xml:space="preserve">- Paragraph 3: </w:t>
      </w:r>
      <w:hyperlink r:id="rId11">
        <w:r>
          <w:rPr>
            <w:color w:val="0000EE"/>
            <w:u w:val="single"/>
          </w:rPr>
          <w:t>[3]</w:t>
        </w:r>
      </w:hyperlink>
      <w:r>
        <w:t xml:space="preserve">- Paragraph 4: </w:t>
      </w:r>
      <w:hyperlink r:id="rId12">
        <w:r>
          <w:rPr>
            <w:color w:val="0000EE"/>
            <w:u w:val="single"/>
          </w:rPr>
          <w:t>[4]</w:t>
        </w:r>
      </w:hyperlink>
      <w:r>
        <w:t xml:space="preserve">- Paragraph 5: </w:t>
      </w:r>
      <w:hyperlink r:id="rId13">
        <w:r>
          <w:rPr>
            <w:color w:val="0000EE"/>
            <w:u w:val="single"/>
          </w:rPr>
          <w:t>[7]</w:t>
        </w:r>
      </w:hyperlink>
      <w:r>
        <w:t xml:space="preserve">- Paragraph 6: </w:t>
      </w:r>
      <w:hyperlink r:id="rId11">
        <w:r>
          <w:rPr>
            <w:color w:val="0000EE"/>
            <w:u w:val="single"/>
          </w:rPr>
          <w:t>[3]</w:t>
        </w:r>
      </w:hyperlink>
      <w:r>
        <w:t xml:space="preserve">, </w:t>
      </w:r>
      <w:hyperlink r:id="rId12">
        <w:r>
          <w:rPr>
            <w:color w:val="0000EE"/>
            <w:u w:val="single"/>
          </w:rPr>
          <w:t>[4]</w:t>
        </w:r>
      </w:hyperlink>
      <w:r>
        <w:t xml:space="preserve">, </w:t>
      </w:r>
      <w:hyperlink r:id="rId13">
        <w:r>
          <w:rPr>
            <w:color w:val="0000EE"/>
            <w:u w:val="single"/>
          </w:rPr>
          <w:t>[7]</w:t>
        </w:r>
      </w:hyperlink>
      <w:r>
        <w:t xml:space="preserve">- Paragraph 7: </w:t>
      </w:r>
      <w:hyperlink r:id="rId14">
        <w:r>
          <w:rPr>
            <w:color w:val="0000EE"/>
            <w:u w:val="single"/>
          </w:rPr>
          <w:t>[6]</w:t>
        </w:r>
      </w:hyperlink>
      <w:r>
        <w:t xml:space="preserve">- Paragraph 8: </w:t>
      </w:r>
      <w:hyperlink r:id="rId14">
        <w:r>
          <w:rPr>
            <w:color w:val="0000EE"/>
            <w:u w:val="single"/>
          </w:rPr>
          <w:t>[6]</w:t>
        </w:r>
      </w:hyperlink>
      <w:r>
        <w:t xml:space="preserve">, </w:t>
      </w:r>
      <w:hyperlink r:id="rId11">
        <w:r>
          <w:rPr>
            <w:color w:val="0000EE"/>
            <w:u w:val="single"/>
          </w:rPr>
          <w:t>[3]</w:t>
        </w:r>
      </w:hyperlink>
      <w:r>
        <w:t xml:space="preserve">, </w:t>
      </w:r>
      <w:hyperlink r:id="rId12">
        <w:r>
          <w:rPr>
            <w:color w:val="0000EE"/>
            <w:u w:val="single"/>
          </w:rPr>
          <w:t>[4]</w:t>
        </w:r>
      </w:hyperlink>
      <w:r>
        <w:t xml:space="preserve">- Paragraph 9: </w:t>
      </w:r>
      <w:hyperlink r:id="rId11">
        <w:r>
          <w:rPr>
            <w:color w:val="0000EE"/>
            <w:u w:val="single"/>
          </w:rPr>
          <w:t>[3]</w:t>
        </w:r>
      </w:hyperlink>
      <w:r>
        <w:t xml:space="preserve">, </w:t>
      </w:r>
      <w:hyperlink r:id="rId12">
        <w:r>
          <w:rPr>
            <w:color w:val="0000EE"/>
            <w:u w:val="single"/>
          </w:rPr>
          <w:t>[4]</w:t>
        </w:r>
      </w:hyperlink>
      <w:r>
        <w:t xml:space="preserve">, </w:t>
      </w:r>
      <w:hyperlink r:id="rId13">
        <w:r>
          <w:rPr>
            <w:color w:val="0000EE"/>
            <w:u w:val="single"/>
          </w:rPr>
          <w:t>[7]</w:t>
        </w:r>
      </w:hyperlink>
      <w:r>
        <w:t xml:space="preserve">- Paragraph 10: </w:t>
      </w:r>
      <w:hyperlink r:id="rId10">
        <w:r>
          <w:rPr>
            <w:color w:val="0000EE"/>
            <w:u w:val="single"/>
          </w:rPr>
          <w:t>[5]</w:t>
        </w:r>
      </w:hyperlink>
      <w:r>
        <w:t xml:space="preserve">, </w:t>
      </w:r>
      <w:hyperlink r:id="rId14">
        <w:r>
          <w:rPr>
            <w:color w:val="0000EE"/>
            <w:u w:val="single"/>
          </w:rPr>
          <w:t>[6]</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https://www.wnd.com/2026/11/gender-madness-midterms/</w:t>
        </w:r>
      </w:hyperlink>
      <w:r>
        <w:t xml:space="preserve"> - Please view link - unable to able to access data</w:t>
      </w:r>
      <w:r/>
    </w:p>
    <w:p>
      <w:pPr>
        <w:pStyle w:val="ListNumber"/>
        <w:spacing w:line="240" w:lineRule="auto"/>
        <w:ind w:left="720"/>
      </w:pPr>
      <w:r/>
      <w:hyperlink r:id="rId15">
        <w:r>
          <w:rPr>
            <w:color w:val="0000EE"/>
            <w:u w:val="single"/>
          </w:rPr>
          <w:t>https://www.dailysignal.com/2026/11/04/gender-madness-midterms/</w:t>
        </w:r>
      </w:hyperlink>
      <w:r>
        <w:t xml:space="preserve"> - The Daily Signal article argues that recent federal policy changes have given parents and communities greater scope to challenge policies concerning gender identity, while warning that political and cultural change is not necessarily permanent. It discusses executive action by the Trump administration, changes at the Department of Health and Human Services, and the administration’s stated opposition to some medical interventions for minors. It also refers to the 3 November 2026 midterm elections, naming James Talarico, Abdul El-Sayed and Chris Pappas as newly elected senators, and treats their victories as evidence that political attitudes remain contested. The article cites a Supreme Court decision concerning parental objections to school policies, and HHS reporting on the treatment of minors. Its concluding argument is that parents should stay involved in schools and communities, and that consumers can express political preferences through purchasing decisions. The piece is an opinion article, not a neutral survey of medical evidence or public opinion. Its wording and characterisations reflect the author’s perspective; readers should distinguish those judgements from the underlying events and official actions. The article was originally published by The Daily Signal and republished by WND. It makes a case for continued political engagement, rather than claiming that policy changes alone have permanently settled disputes over gender, schools, healthcare or women’s sport.</w:t>
      </w:r>
      <w:r/>
    </w:p>
    <w:p>
      <w:pPr>
        <w:pStyle w:val="ListNumber"/>
        <w:spacing w:line="240" w:lineRule="auto"/>
        <w:ind w:left="720"/>
      </w:pPr>
      <w:r/>
      <w:hyperlink r:id="rId11">
        <w:r>
          <w:rPr>
            <w:color w:val="0000EE"/>
            <w:u w:val="single"/>
          </w:rPr>
          <w:t>https://www.whitehouse.gov/presidential-actions/2025/01/defending-women-from-gender-ideology-extremism-and-restoring-biological-truth-to-the-federal-government/</w:t>
        </w:r>
      </w:hyperlink>
      <w:r>
        <w:t xml:space="preserve"> - This White House document is an executive order dated 20 January 2025. It sets out the administration’s policy position that federal agencies should recognise two sexes, male and female, and directs agencies to apply specified definitions when administering federal law and policy. The order instructs departments to review policies and guidance, and includes directions concerning federal records, government communications, prisons and sex-separated spaces. It also directs federal officials with civil-rights enforcement responsibilities to prioritise investigations and litigation connected with the order’s stated approach. The document supports the article’s description of federal executive action on gender-related policies, but it should be read as a record of the administration’s directives, not as evidence that every provision was implemented or that every legal dispute was resolved. Nor does the order by itself establish the medical or social claims made in the opinion article. The text presents the administration’s rationale and uses its own definitions and terminology; other organisations, courts and policymakers may disagree with those positions. For readers assessing the article, the order is useful primary-source documentation of what the administration formally directed federal agencies to do. Its date is important: it was issued in January 2025, so it is not a newly enacted measure from the November 2026 election period. The document also provides context for subsequent agency actions and litigation discussed in reporting and official announcements.</w:t>
      </w:r>
      <w:r/>
    </w:p>
    <w:p>
      <w:pPr>
        <w:pStyle w:val="ListNumber"/>
        <w:spacing w:line="240" w:lineRule="auto"/>
        <w:ind w:left="720"/>
      </w:pPr>
      <w:r/>
      <w:hyperlink r:id="rId12">
        <w:r>
          <w:rPr>
            <w:color w:val="0000EE"/>
            <w:u w:val="single"/>
          </w:rPr>
          <w:t>https://www.hhs.gov/press-room/hhs-report-insurance-coding-sex-rejecting-procedures-minors.html</w:t>
        </w:r>
      </w:hyperlink>
      <w:r>
        <w:t xml:space="preserve"> - This HHS announcement, dated 13 August 2026, says the department released a commissioned report titled Wolves in White Coats: How Doctors and Hospitals Pushed and Profited from the Fraud of “Gender Medicine”. HHS describes the report as an examination of insurance coding practices, financial incentives and medical procedures provided to minors. The announcement quotes Assistant Secretary for Health Admiral Brian Christine and outlines recommendations concerning oversight of coding, programme integrity and review of potentially improper billing. It is a primary source for the fact that HHS published the report and for the department’s stated interpretation of its findings and recommendations. It does not, on its own, independently verify the report’s allegations or establish that particular practitioners committed fraud; those claims require assessment of the underlying report, supporting evidence and any subsequent legal findings. The announcement therefore helps substantiate the article’s reference to an HHS report and to the administration’s public characterisation of paediatric gender-related medical care. Its framing is explicitly that of the federal department releasing and promoting the commissioned work. Readers should separate the release’s description from broader, contested questions about clinical evidence, standards of care and policy. The page links to the full report and its executive summary, allowing readers to examine the material HHS says underpins its conclusions. The announcement also records the department’s stated policy priorities at the time of publication.</w:t>
      </w:r>
      <w:r/>
    </w:p>
    <w:p>
      <w:pPr>
        <w:pStyle w:val="ListNumber"/>
        <w:spacing w:line="240" w:lineRule="auto"/>
        <w:ind w:left="720"/>
      </w:pPr>
      <w:r/>
      <w:hyperlink r:id="rId10">
        <w:r>
          <w:rPr>
            <w:color w:val="0000EE"/>
            <w:u w:val="single"/>
          </w:rPr>
          <w:t>https://apnews.com/article/midterm-election-house-senate-democrats-republicans-trump-f126e12e05b579a327b98481c0ae2226</w:t>
        </w:r>
      </w:hyperlink>
      <w:r>
        <w:t xml:space="preserve"> - This Associated Press report covers the United States midterm elections held on 3 November 2026 and their consequences for Congress and President Donald Trump’s final two years in office. It reports Democratic victories in several prominent Senate contests, including James Talarico in Texas, Abdul El-Sayed in Michigan and Chris Pappas in New Hampshire. The article describes the result as a major setback for Republicans and says Democrats’ expected control of Congress will affect the administration’s legislative agenda and oversight. It also discusses voter groups and issues, drawing on AP’s voter-polling work, and provides wider national context rather than focusing on gender policy alone. The report supports the election-related factual claims in the opinion article, particularly the named Senate winners and the political significance of the midterms. It does not establish that those candidates’ election victories were caused by their positions on LGBT issues, nor does it describe them simply as advocates for a particular movement. Such characterisations are the opinion writer’s interpretation and should be considered separately from the election results. The AP account is a news report, not an endorsement of either party’s claims. Its coverage includes the broader political environment, including voter shifts, the balance of power and possible investigations. Readers should note that election calls and totals can be updated as counting and certification proceed, so official state results remain the definitive source for final figures.</w:t>
      </w:r>
      <w:r/>
    </w:p>
    <w:p>
      <w:pPr>
        <w:pStyle w:val="ListNumber"/>
        <w:spacing w:line="240" w:lineRule="auto"/>
        <w:ind w:left="720"/>
      </w:pPr>
      <w:r/>
      <w:hyperlink r:id="rId14">
        <w:r>
          <w:rPr>
            <w:color w:val="0000EE"/>
            <w:u w:val="single"/>
          </w:rPr>
          <w:t>https://www.supremecourt.gov/opinions/25pdf/607us2r17_bqmc.pdf</w:t>
        </w:r>
      </w:hyperlink>
      <w:r>
        <w:t xml:space="preserve"> - This is a United States Supreme Court opinion addressing a dispute involving California school policies, parental notification and students’ gender presentation at school. The opinion recounts that parents objected to policies that, they said, prevented schools from informing them about a child’s gender transition unless the child consented. The case also involved teachers who objected to being required to participate in implementing the policies. The document describes the claims brought under the First and Fourteenth Amendments and summarises the parties’ arguments and the case’s procedural history. It is a primary legal source relevant to the article’s reference to Supreme Court activity concerning parental rights and school policies. The decision’s precise holding and legal scope should be taken from the Court’s opinion itself; it should not be reduced to a general claim that the Court has resolved every dispute about parental notification or gender identity in schools. The facts recounted in an opinion are part of the legal record and are not a general finding about all schools or families. This document is valuable for checking what the Court was asked to consider, what the litigants argued and what legal issues were before it. It also clarifies that the dispute concerned particular state and school policies, rather than a nationwide rule applying identically to every district. Readers can consult the complete opinion to assess the Court’s reasoning and the limits of its decision.</w:t>
      </w:r>
      <w:r/>
    </w:p>
    <w:p>
      <w:pPr>
        <w:pStyle w:val="ListNumber"/>
        <w:spacing w:line="240" w:lineRule="auto"/>
        <w:ind w:left="720"/>
      </w:pPr>
      <w:r/>
      <w:hyperlink r:id="rId13">
        <w:r>
          <w:rPr>
            <w:color w:val="0000EE"/>
            <w:u w:val="single"/>
          </w:rPr>
          <w:t>https://www.statnews.com/2026/02/05/hospitals-stop-gender-care-minors-trump-administration-pressure/</w:t>
        </w:r>
      </w:hyperlink>
      <w:r>
        <w:t xml:space="preserve"> - STAT reports that at least nine hospitals or health systems had stopped providing puberty blockers or hormones to young transgender patients since the start of 2026, amid federal policy proposals and pressure from the Trump administration. The report places those decisions in the context of proposed rules concerning Medicare and Medicaid funding, investigations and legal challenges. It quotes government officials, clinicians and a health-law expert, offering perspectives on why institutions might pause services and what the consequences could be for patients. The article says STAT identified action by 42 hospitals and health systems since January 2025, while also noting that some government claims about closures were not accompanied by a complete list of institutions. It reports that some pauses were described as temporary and that legal challenges to federal measures were ongoing. This source supports the general point that some providers changed or discontinued services, but it does not establish the broader claim that dozens of clinics closed entirely or that every closure resulted from successful lawsuits. It also presents relevant context that the effects of policy proposals and legal proceedings were still developing. STAT’s account is independent journalism, not an official government statement or a medical guideline. It helps readers distinguish between hospitals pausing specific treatments, clinics closing, and services being restricted or altered. The report further notes that fewer providers may affect access to care and opportunities to gather evidence.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nd.com/2026/11/gender-madness-midterms/" TargetMode="External"/><Relationship Id="rId10" Type="http://schemas.openxmlformats.org/officeDocument/2006/relationships/hyperlink" Target="https://apnews.com/article/midterm-election-house-senate-democrats-republicans-trump-f126e12e05b579a327b98481c0ae2226" TargetMode="External"/><Relationship Id="rId11" Type="http://schemas.openxmlformats.org/officeDocument/2006/relationships/hyperlink" Target="https://www.whitehouse.gov/presidential-actions/2025/01/defending-women-from-gender-ideology-extremism-and-restoring-biological-truth-to-the-federal-government/" TargetMode="External"/><Relationship Id="rId12" Type="http://schemas.openxmlformats.org/officeDocument/2006/relationships/hyperlink" Target="https://www.hhs.gov/press-room/hhs-report-insurance-coding-sex-rejecting-procedures-minors.html" TargetMode="External"/><Relationship Id="rId13" Type="http://schemas.openxmlformats.org/officeDocument/2006/relationships/hyperlink" Target="https://www.statnews.com/2026/02/05/hospitals-stop-gender-care-minors-trump-administration-pressure/" TargetMode="External"/><Relationship Id="rId14" Type="http://schemas.openxmlformats.org/officeDocument/2006/relationships/hyperlink" Target="https://www.supremecourt.gov/opinions/25pdf/607us2r17_bqmc.pdf" TargetMode="External"/><Relationship Id="rId15" Type="http://schemas.openxmlformats.org/officeDocument/2006/relationships/hyperlink" Target="https://www.dailysignal.com/2026/11/04/gender-madness-midter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