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Rainbow Migration Says About Asylum, Colonialism and Queer Books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Rainbow Migration supports LGBTQ+ people seeking safety in the UK, while its writing on asylum and colonialism has drawn sharp criticism. Its own articles and reading list show how the charity connects migration, identity and history, offering a clearer picture of its work and the ideas behind it.</w:t>
      </w:r>
      <w:r/>
    </w:p>
    <w:p>
      <w:pPr>
        <w:pStyle w:val="Heading2"/>
      </w:pPr>
      <w:r>
        <w:t>Essential takeaways</w:t>
      </w:r>
      <w:r/>
      <w:r/>
    </w:p>
    <w:p>
      <w:pPr>
        <w:pStyle w:val="ListBullet"/>
        <w:spacing w:line="240" w:lineRule="auto"/>
        <w:ind w:left="720"/>
      </w:pPr>
      <w:r/>
      <w:r>
        <w:rPr>
          <w:b/>
        </w:rPr>
        <w:t>Who it helps:</w:t>
      </w:r>
      <w:r>
        <w:t xml:space="preserve"> Rainbow Migration supports LGBTQ+ people seeking asylum in the UK. </w:t>
      </w:r>
      <w:hyperlink r:id="rId9">
        <w:r>
          <w:rPr>
            <w:color w:val="0000EE"/>
            <w:u w:val="single"/>
          </w:rPr>
          <w:t>[5]</w:t>
        </w:r>
      </w:hyperlink>
      <w:r/>
    </w:p>
    <w:p>
      <w:pPr>
        <w:pStyle w:val="ListBullet"/>
        <w:spacing w:line="240" w:lineRule="auto"/>
        <w:ind w:left="720"/>
      </w:pPr>
      <w:r/>
      <w:r>
        <w:rPr>
          <w:b/>
        </w:rPr>
        <w:t>Its wider argument:</w:t>
      </w:r>
      <w:r>
        <w:t xml:space="preserve"> The charity says the asylum system reflects Britain’s colonial history. </w:t>
      </w:r>
      <w:hyperlink r:id="rId10">
        <w:r>
          <w:rPr>
            <w:color w:val="0000EE"/>
            <w:u w:val="single"/>
          </w:rPr>
          <w:t>[2]</w:t>
        </w:r>
      </w:hyperlink>
      <w:r/>
    </w:p>
    <w:p>
      <w:pPr>
        <w:pStyle w:val="ListBullet"/>
        <w:spacing w:line="240" w:lineRule="auto"/>
        <w:ind w:left="720"/>
      </w:pPr>
      <w:r/>
      <w:r>
        <w:rPr>
          <w:b/>
        </w:rPr>
        <w:t>A broader discussion:</w:t>
      </w:r>
      <w:r>
        <w:t xml:space="preserve"> Its published material also addresses trans visibility and the relationship between queerness and colonialism. </w:t>
      </w:r>
      <w:hyperlink r:id="rId11">
        <w:r>
          <w:rPr>
            <w:color w:val="0000EE"/>
            <w:u w:val="single"/>
          </w:rPr>
          <w:t>[3]</w:t>
        </w:r>
      </w:hyperlink>
      <w:r>
        <w:t xml:space="preserve">, </w:t>
      </w:r>
      <w:hyperlink r:id="rId12">
        <w:r>
          <w:rPr>
            <w:color w:val="0000EE"/>
            <w:u w:val="single"/>
          </w:rPr>
          <w:t>[4]</w:t>
        </w:r>
      </w:hyperlink>
      <w:r/>
    </w:p>
    <w:p>
      <w:pPr>
        <w:pStyle w:val="ListBullet"/>
        <w:spacing w:line="240" w:lineRule="auto"/>
        <w:ind w:left="720"/>
      </w:pPr>
      <w:r/>
      <w:r>
        <w:rPr>
          <w:b/>
        </w:rPr>
        <w:t>Funding information:</w:t>
      </w:r>
      <w:r>
        <w:t xml:space="preserve"> Grant records and the charity’s own funder page offer ways to check its funding details. </w:t>
      </w:r>
      <w:hyperlink r:id="rId13">
        <w:r>
          <w:rPr>
            <w:color w:val="0000EE"/>
            <w:u w:val="single"/>
          </w:rPr>
          <w:t>[6]</w:t>
        </w:r>
      </w:hyperlink>
      <w:r>
        <w:t xml:space="preserve">, </w:t>
      </w:r>
      <w:hyperlink r:id="rId14">
        <w:r>
          <w:rPr>
            <w:color w:val="0000EE"/>
            <w:u w:val="single"/>
          </w:rPr>
          <w:t>[7]</w:t>
        </w:r>
      </w:hyperlink>
      <w:r/>
      <w:r/>
    </w:p>
    <w:p>
      <w:pPr>
        <w:pStyle w:val="Heading2"/>
      </w:pPr>
      <w:r>
        <w:t>Rainbow Migration’s work centres on LGBTQ+ people seeking safety</w:t>
      </w:r>
      <w:r/>
    </w:p>
    <w:p>
      <w:r/>
      <w:r>
        <w:t xml:space="preserve">For someone fleeing persecution, an asylum application can be a daunting tangle of evidence, interviews and uncertainty. Rainbow Migration says it helps LGBTQ+ people navigate the UK system and seek protection. </w:t>
      </w:r>
      <w:hyperlink r:id="rId9">
        <w:r>
          <w:rPr>
            <w:color w:val="0000EE"/>
            <w:u w:val="single"/>
          </w:rPr>
          <w:t>[5]</w:t>
        </w:r>
      </w:hyperlink>
      <w:r/>
    </w:p>
    <w:p>
      <w:r/>
      <w:r>
        <w:t xml:space="preserve">That practical role sits alongside the charity’s public commentary on migration and identity. Its website presents support for people seeking safety as part of a wider conversation about how the asylum system operates. </w:t>
      </w:r>
      <w:hyperlink r:id="rId10">
        <w:r>
          <w:rPr>
            <w:color w:val="0000EE"/>
            <w:u w:val="single"/>
          </w:rPr>
          <w:t>[2]</w:t>
        </w:r>
      </w:hyperlink>
      <w:r>
        <w:t xml:space="preserve">, </w:t>
      </w:r>
      <w:hyperlink r:id="rId9">
        <w:r>
          <w:rPr>
            <w:color w:val="0000EE"/>
            <w:u w:val="single"/>
          </w:rPr>
          <w:t>[5]</w:t>
        </w:r>
      </w:hyperlink>
      <w:r/>
    </w:p>
    <w:p>
      <w:pPr>
        <w:pStyle w:val="Heading2"/>
      </w:pPr>
      <w:r>
        <w:t>Why the charity links asylum with colonial history</w:t>
      </w:r>
      <w:r/>
    </w:p>
    <w:p>
      <w:r/>
      <w:r>
        <w:t xml:space="preserve">Rainbow Migration argues that Britain’s asylum system is shaped by the legacy of colonialism. That is the organisation’s interpretation of the system’s history, rather than a neutral description everyone will share. </w:t>
      </w:r>
      <w:hyperlink r:id="rId10">
        <w:r>
          <w:rPr>
            <w:color w:val="0000EE"/>
            <w:u w:val="single"/>
          </w:rPr>
          <w:t>[2]</w:t>
        </w:r>
      </w:hyperlink>
      <w:r/>
    </w:p>
    <w:p>
      <w:r/>
      <w:r>
        <w:t xml:space="preserve">The argument invites a broader question: how do laws and social attitudes formed in one era affect people seeking refuge now? It’s a serious debate, and the charity’s framing makes clear that it sees historical context as central to understanding asylum. </w:t>
      </w:r>
      <w:hyperlink r:id="rId10">
        <w:r>
          <w:rPr>
            <w:color w:val="0000EE"/>
            <w:u w:val="single"/>
          </w:rPr>
          <w:t>[2]</w:t>
        </w:r>
      </w:hyperlink>
      <w:r/>
    </w:p>
    <w:p>
      <w:pPr>
        <w:pStyle w:val="Heading2"/>
      </w:pPr>
      <w:r>
        <w:t>Its trans-related writing adds another strand</w:t>
      </w:r>
      <w:r/>
    </w:p>
    <w:p>
      <w:r/>
      <w:r>
        <w:t xml:space="preserve">The charity has also published material for Trans Day of Visibility, bringing trans experiences into its wider work on LGBTQ+ inclusion. That gives readers a sense of how it approaches identity beyond asylum policy alone. </w:t>
      </w:r>
      <w:hyperlink r:id="rId11">
        <w:r>
          <w:rPr>
            <w:color w:val="0000EE"/>
            <w:u w:val="single"/>
          </w:rPr>
          <w:t>[3]</w:t>
        </w:r>
      </w:hyperlink>
      <w:r/>
    </w:p>
    <w:p>
      <w:r/>
      <w:r>
        <w:t xml:space="preserve">When reading advocacy material, it helps to separate a group’s stated position from the evidence or analysis offered in support of it. That doesn’t settle disagreements, but it makes the conversation more useful than relying on a headline or a label. </w:t>
      </w:r>
      <w:hyperlink r:id="rId10">
        <w:r>
          <w:rPr>
            <w:color w:val="0000EE"/>
            <w:u w:val="single"/>
          </w:rPr>
          <w:t>[2]</w:t>
        </w:r>
      </w:hyperlink>
      <w:r>
        <w:t xml:space="preserve">, </w:t>
      </w:r>
      <w:hyperlink r:id="rId11">
        <w:r>
          <w:rPr>
            <w:color w:val="0000EE"/>
            <w:u w:val="single"/>
          </w:rPr>
          <w:t>[3]</w:t>
        </w:r>
      </w:hyperlink>
      <w:r/>
    </w:p>
    <w:p>
      <w:pPr>
        <w:pStyle w:val="Heading2"/>
      </w:pPr>
      <w:r>
        <w:t>A reading list connects queerness and colonialism</w:t>
      </w:r>
      <w:r/>
    </w:p>
    <w:p>
      <w:r/>
      <w:r>
        <w:t xml:space="preserve">Rainbow Migration’s published book list brings together titles exploring queerness, family, race and colonialism. It’s a curated selection, not a formal statement that every reader must agree with each author’s ideas. </w:t>
      </w:r>
      <w:hyperlink r:id="rId12">
        <w:r>
          <w:rPr>
            <w:color w:val="0000EE"/>
            <w:u w:val="single"/>
          </w:rPr>
          <w:t>[4]</w:t>
        </w:r>
      </w:hyperlink>
      <w:r/>
    </w:p>
    <w:p>
      <w:r/>
      <w:r>
        <w:t xml:space="preserve">For readers looking to understand the charity’s perspective, the list offers a starting point for exploring the themes it raises. And, as with any reading list, the value lies partly in comparing viewpoints rather than treating one collection as the final word. </w:t>
      </w:r>
      <w:hyperlink r:id="rId12">
        <w:r>
          <w:rPr>
            <w:color w:val="0000EE"/>
            <w:u w:val="single"/>
          </w:rPr>
          <w:t>[4]</w:t>
        </w:r>
      </w:hyperlink>
      <w:r/>
    </w:p>
    <w:p>
      <w:pPr>
        <w:pStyle w:val="Heading2"/>
      </w:pPr>
      <w:r>
        <w:t>How to check the charity’s funding</w:t>
      </w:r>
      <w:r/>
    </w:p>
    <w:p>
      <w:r/>
      <w:r>
        <w:t xml:space="preserve">Questions about a charity’s funding are best approached through records, not assumptions. GrantNav provides an organisation record, while Rainbow Migration publishes a page naming its current funders. </w:t>
      </w:r>
      <w:hyperlink r:id="rId13">
        <w:r>
          <w:rPr>
            <w:color w:val="0000EE"/>
            <w:u w:val="single"/>
          </w:rPr>
          <w:t>[6]</w:t>
        </w:r>
      </w:hyperlink>
      <w:r>
        <w:t xml:space="preserve">, </w:t>
      </w:r>
      <w:hyperlink r:id="rId14">
        <w:r>
          <w:rPr>
            <w:color w:val="0000EE"/>
            <w:u w:val="single"/>
          </w:rPr>
          <w:t>[7]</w:t>
        </w:r>
      </w:hyperlink>
      <w:r/>
    </w:p>
    <w:p>
      <w:r/>
      <w:r>
        <w:t xml:space="preserve">Those sources can help readers distinguish between grant information and other funding relationships. Checking both is a sensible first step for anyone weighing up the charity’s work, public arguments or financial backing. </w:t>
      </w:r>
      <w:hyperlink r:id="rId13">
        <w:r>
          <w:rPr>
            <w:color w:val="0000EE"/>
            <w:u w:val="single"/>
          </w:rPr>
          <w:t>[6]</w:t>
        </w:r>
      </w:hyperlink>
      <w:r>
        <w:t xml:space="preserve">, </w:t>
      </w:r>
      <w:hyperlink r:id="rId14">
        <w:r>
          <w:rPr>
            <w:color w:val="0000EE"/>
            <w:u w:val="single"/>
          </w:rPr>
          <w:t>[7]</w:t>
        </w:r>
      </w:hyperlink>
      <w:r/>
    </w:p>
    <w:p>
      <w:r/>
      <w:r>
        <w:t>A clear view comes from reading the charity’s own material alongside its public records.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[5]</w:t>
        </w:r>
      </w:hyperlink>
      <w:r>
        <w:t xml:space="preserve">- Paragraph 2: </w:t>
      </w:r>
      <w:hyperlink r:id="rId10">
        <w:r>
          <w:rPr>
            <w:color w:val="0000EE"/>
            <w:u w:val="single"/>
          </w:rPr>
          <w:t>[2]</w:t>
        </w:r>
      </w:hyperlink>
      <w:r>
        <w:t xml:space="preserve">, </w:t>
      </w:r>
      <w:hyperlink r:id="rId9">
        <w:r>
          <w:rPr>
            <w:color w:val="0000EE"/>
            <w:u w:val="single"/>
          </w:rPr>
          <w:t>[5]</w:t>
        </w:r>
      </w:hyperlink>
      <w:r>
        <w:t xml:space="preserve">- Paragraph 3: </w:t>
      </w:r>
      <w:hyperlink r:id="rId9">
        <w:r>
          <w:rPr>
            <w:color w:val="0000EE"/>
            <w:u w:val="single"/>
          </w:rPr>
          <w:t>[5]</w:t>
        </w:r>
      </w:hyperlink>
      <w:r>
        <w:t xml:space="preserve">- Paragraph 4: </w:t>
      </w:r>
      <w:hyperlink r:id="rId10">
        <w:r>
          <w:rPr>
            <w:color w:val="0000EE"/>
            <w:u w:val="single"/>
          </w:rPr>
          <w:t>[2]</w:t>
        </w:r>
      </w:hyperlink>
      <w:r>
        <w:t xml:space="preserve">, </w:t>
      </w:r>
      <w:hyperlink r:id="rId9">
        <w:r>
          <w:rPr>
            <w:color w:val="0000EE"/>
            <w:u w:val="single"/>
          </w:rPr>
          <w:t>[5]</w:t>
        </w:r>
      </w:hyperlink>
      <w:r>
        <w:t xml:space="preserve">- Paragraph 5: </w:t>
      </w:r>
      <w:hyperlink r:id="rId10">
        <w:r>
          <w:rPr>
            <w:color w:val="0000EE"/>
            <w:u w:val="single"/>
          </w:rPr>
          <w:t>[2]</w:t>
        </w:r>
      </w:hyperlink>
      <w:r>
        <w:t xml:space="preserve">- Paragraph 6: </w:t>
      </w:r>
      <w:hyperlink r:id="rId10">
        <w:r>
          <w:rPr>
            <w:color w:val="0000EE"/>
            <w:u w:val="single"/>
          </w:rPr>
          <w:t>[2]</w:t>
        </w:r>
      </w:hyperlink>
      <w:r>
        <w:t xml:space="preserve">- Paragraph 7: </w:t>
      </w:r>
      <w:hyperlink r:id="rId11">
        <w:r>
          <w:rPr>
            <w:color w:val="0000EE"/>
            <w:u w:val="single"/>
          </w:rPr>
          <w:t>[3]</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Paragraph 10: </w:t>
      </w:r>
      <w:hyperlink r:id="rId12">
        <w:r>
          <w:rPr>
            <w:color w:val="0000EE"/>
            <w:u w:val="single"/>
          </w:rPr>
          <w:t>[4]</w:t>
        </w:r>
      </w:hyperlink>
      <w:r>
        <w:t xml:space="preserve">- Paragraph 11: </w:t>
      </w:r>
      <w:hyperlink r:id="rId13">
        <w:r>
          <w:rPr>
            <w:color w:val="0000EE"/>
            <w:u w:val="single"/>
          </w:rPr>
          <w:t>[6]</w:t>
        </w:r>
      </w:hyperlink>
      <w:r>
        <w:t xml:space="preserve">, </w:t>
      </w:r>
      <w:hyperlink r:id="rId14">
        <w:r>
          <w:rPr>
            <w:color w:val="0000EE"/>
            <w:u w:val="single"/>
          </w:rPr>
          <w:t>[7]</w:t>
        </w:r>
      </w:hyperlink>
      <w:r>
        <w:t xml:space="preserve">- Paragraph 12: </w:t>
      </w:r>
      <w:hyperlink r:id="rId13">
        <w:r>
          <w:rPr>
            <w:color w:val="0000EE"/>
            <w:u w:val="single"/>
          </w:rPr>
          <w:t>[6]</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https://www.gbnews.com/news/migrant-charity-lottery-funding-asylum-seekers</w:t>
        </w:r>
      </w:hyperlink>
      <w:r>
        <w:t xml:space="preserve"> - Please view link - unable to able to access data</w:t>
      </w:r>
      <w:r/>
    </w:p>
    <w:p>
      <w:pPr>
        <w:pStyle w:val="ListNumber"/>
        <w:spacing w:line="240" w:lineRule="auto"/>
        <w:ind w:left="720"/>
      </w:pPr>
      <w:r/>
      <w:hyperlink r:id="rId10">
        <w:r>
          <w:rPr>
            <w:color w:val="0000EE"/>
            <w:u w:val="single"/>
          </w:rPr>
          <w:t>https://www.rainbowmigration.org.uk/news/the-asylum-system-is-built-on-the-legacy-of-colonialism/</w:t>
        </w:r>
      </w:hyperlink>
      <w:r>
        <w:t xml:space="preserve"> - This Rainbow Migration article, published on 26 June 2026, discusses how Britain’s asylum system is shaped by colonial history, particularly the legacy of British rule in India. It recounts the case of a queer Indian woman who felt safe living openly in the UK but feared returning home. Seeking asylum could require her to give the Home Office intimate details of her life and provide evidence, potentially exposing her to danger if people in India discovered what she had disclosed. The article argues that this demand for proof can force LGBTQ+ applicants into narrow expectations about how sexuality and gender should be expressed. It also connects restrictions on asylum seekers’ ability to work with colonial-era controls over economic life, and says British laws criminalising homosexuality in India helped create conditions that still place queer people at risk. The article presents these points as an argument for reform, rather than as a neutral account of the asylum system. It concludes that Britain should recognise its historical role and develop a system that treats people seeking protection with greater dignity, nuance and culturally informed care.</w:t>
      </w:r>
      <w:r/>
    </w:p>
    <w:p>
      <w:pPr>
        <w:pStyle w:val="ListNumber"/>
        <w:spacing w:line="240" w:lineRule="auto"/>
        <w:ind w:left="720"/>
      </w:pPr>
      <w:r/>
      <w:hyperlink r:id="rId11">
        <w:r>
          <w:rPr>
            <w:color w:val="0000EE"/>
            <w:u w:val="single"/>
          </w:rPr>
          <w:t>https://www.rainbowmigration.org.uk/news/trans-day-of-visibility-2025/</w:t>
        </w:r>
      </w:hyperlink>
      <w:r>
        <w:t xml:space="preserve"> - Rainbow Migration’s Trans Day of Visibility article, dated 31 March 2025, celebrates trans and non-binary people while describing difficulties faced by trans people seeking asylum in the UK. It presents the organisation’s view that colonial powers imposed rigid gender norms on societies with more varied understandings of gender, and that some colonial-era laws and prejudices continue to affect people today. The article discusses historical examples from India and African societies, including hijra communities and cultural understandings of gender that differ from fixed male-and-female categories. It then turns to practical challenges in the UK asylum process: unsuitable accommodation, misgendering and deadnaming, pressure to prove gender identity, and difficulty accessing gender-affirming healthcare. Rainbow Migration says it offers legal advice, practical and emotional support, and a trans support group. The piece is an advocacy article, and its historical and social claims are presented from the organisation’s perspective. It provides context for the article’s description of Rainbow Migration’s position that transphobia can be a colonial export, while also outlining the support and campaigning work it says it undertakes for people seeking safety.</w:t>
      </w:r>
      <w:r/>
    </w:p>
    <w:p>
      <w:pPr>
        <w:pStyle w:val="ListNumber"/>
        <w:spacing w:line="240" w:lineRule="auto"/>
        <w:ind w:left="720"/>
      </w:pPr>
      <w:r/>
      <w:hyperlink r:id="rId12">
        <w:r>
          <w:rPr>
            <w:color w:val="0000EE"/>
            <w:u w:val="single"/>
          </w:rPr>
          <w:t>https://www.rainbowmigration.org.uk/news/book-list-queerness-colonialism/</w:t>
        </w:r>
      </w:hyperlink>
      <w:r>
        <w:t xml:space="preserve"> - Rainbow Migration’s Pride 2026 book list, published on 10 June 2026, brings together fiction, memoir, non-fiction, graphic works and films exploring connections between queerness and colonialism. The organisation says the titles were recommended by its Refugee Advisory Panel, LGBTQI+ people going through the asylum system and staff. The list is intended to prompt reflection on ideas including the mistaken perception that LGBTQI+ identities are new, the colonial origins of some anti-LGBTQI+ laws and attitudes, and narrow Western conceptions of queerness. Listed works span different regions, histories and forms. Among the non-fiction and memoir selections are Homosexual Intifada: A Queer Palestinian Anthology, Black Trans Feminism and This Queer Arab Family. Other entries include We Have Always Been Here: A Queer Muslim Memoir, Sister Outsider and Before We Were Trans. The page also recommends novels and graphic works, with descriptions addressing themes such as gender, desire, family, migration and liberation. The list is presented as a resource for Pride 2026 and is available digitally, as well as through named bookshop and library partners. It supports the claim that the three titles mentioned in the supplied article appear in Rainbow Migration’s recommended reading list.</w:t>
      </w:r>
      <w:r/>
    </w:p>
    <w:p>
      <w:pPr>
        <w:pStyle w:val="ListNumber"/>
        <w:spacing w:line="240" w:lineRule="auto"/>
        <w:ind w:left="720"/>
      </w:pPr>
      <w:r/>
      <w:hyperlink r:id="rId9">
        <w:r>
          <w:rPr>
            <w:color w:val="0000EE"/>
            <w:u w:val="single"/>
          </w:rPr>
          <w:t>https://www.rainbowmigration.org.uk/</w:t>
        </w:r>
      </w:hyperlink>
      <w:r>
        <w:t xml:space="preserve"> - Rainbow Migration’s official homepage describes the charity’s work supporting LGBTQI+ people through the asylum and immigration system. It says the organisation provides practical, advocacy and emotional assistance to people seeking asylum, helping them access healthcare and housing and reduce isolation. It also offers free, confidential specialist legal information and advice, and campaigns to improve the treatment of people seeking asylum. The organisation separately provides legal advice and information to LGBTQI+ people who want to live in the UK with their partners. The homepage highlights support for people going through the asylum process, including assistance in accessing housing and health services, and describes work to oppose the detention of LGBTQI+ people. It also offers training for lawyers, judges, charities and others on handling LGBTQI+ asylum claims and supporting LGBTQI+ people. Its research and publications aim to promote fair and dignified treatment within the asylum and immigration system. This official source supports the description of Rainbow Migration as an organisation assisting LGBTQI+ asylum seekers. It also clarifies the scope of the service: the charity describes advice, practical help and advocacy rather than claiming that it represents every applicant or guarantees a successful immigration outcome.</w:t>
      </w:r>
      <w:r/>
    </w:p>
    <w:p>
      <w:pPr>
        <w:pStyle w:val="ListNumber"/>
        <w:spacing w:line="240" w:lineRule="auto"/>
        <w:ind w:left="720"/>
      </w:pPr>
      <w:r/>
      <w:hyperlink r:id="rId13">
        <w:r>
          <w:rPr>
            <w:color w:val="0000EE"/>
            <w:u w:val="single"/>
          </w:rPr>
          <w:t>https://grantnav.threesixtygiving.org/org/GB-CHC-1158228</w:t>
        </w:r>
      </w:hyperlink>
      <w:r>
        <w:t xml:space="preserve"> - GrantNav’s profile for Rainbow Migration presents open grant data published under the 360Giving Data Standard. It identifies the organisation under several historical and current names, including UK Lesbian and Gay Immigration Group and Rainbow Migration. The profile says Rainbow Migration appears in the dataset as a recipient of grants and provides an overview of awards recorded from different funders. It lists three grants from The National Lottery Community Fund, with a combined total of £472,704, alongside awards from foundations, trusts and other organisations. The page explains that the information is drawn from data published by funders and that some additional organisational details are automatically added from Charity Commission-related sources rather than independently verified by GrantNav. It therefore offers an accessible record of reported funding, but users should consider the data’s provenance and limitations when interpreting it. This source supports the specific claim that Rainbow Migration has received National Lottery Community Fund grants. It does not, by itself, establish the broader political characterisations or conclusions made in commentary about the charity or about lottery funding for migration-related organisations.</w:t>
      </w:r>
      <w:r/>
    </w:p>
    <w:p>
      <w:pPr>
        <w:pStyle w:val="ListNumber"/>
        <w:spacing w:line="240" w:lineRule="auto"/>
        <w:ind w:left="720"/>
      </w:pPr>
      <w:r/>
      <w:hyperlink r:id="rId14">
        <w:r>
          <w:rPr>
            <w:color w:val="0000EE"/>
            <w:u w:val="single"/>
          </w:rPr>
          <w:t>https://www.rainbowmigration.org.uk/our-current-funders/</w:t>
        </w:r>
      </w:hyperlink>
      <w:r>
        <w:t xml:space="preserve"> - Rainbow Migration’s funders page acknowledges the financial support that enables its work with LGBTQI+ people seeking asylum and refugees. The organisation states that it does not receive funding from the UK government and that its work relies on funders and supporters. The page is useful alongside the GrantNav record because it explains the charity’s own account of how its activities are financed, while GrantNav lists reported awards from particular grantmakers, including The National Lottery Community Fund. The page frames funding as support for the organisation’s services rather than as evidence of a particular political position. It also provides context for understanding that charities may rely on a mixture of philanthropic and charitable sources to deliver advice, advocacy and practical assistance. This source should be read as Rainbow Migration’s own disclosure about its funding arrangements; it does not independently audit every grant or provide a complete historical breakdown. Together with the open-grant record, it supports the more limited factual point that the charity depends on external funding and identifies the sources and rationale for that support.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ainbowmigration.org.uk/" TargetMode="External"/><Relationship Id="rId10" Type="http://schemas.openxmlformats.org/officeDocument/2006/relationships/hyperlink" Target="https://www.rainbowmigration.org.uk/news/the-asylum-system-is-built-on-the-legacy-of-colonialism/" TargetMode="External"/><Relationship Id="rId11" Type="http://schemas.openxmlformats.org/officeDocument/2006/relationships/hyperlink" Target="https://www.rainbowmigration.org.uk/news/trans-day-of-visibility-2025/" TargetMode="External"/><Relationship Id="rId12" Type="http://schemas.openxmlformats.org/officeDocument/2006/relationships/hyperlink" Target="https://www.rainbowmigration.org.uk/news/book-list-queerness-colonialism/" TargetMode="External"/><Relationship Id="rId13" Type="http://schemas.openxmlformats.org/officeDocument/2006/relationships/hyperlink" Target="https://grantnav.threesixtygiving.org/org/GB-CHC-1158228" TargetMode="External"/><Relationship Id="rId14" Type="http://schemas.openxmlformats.org/officeDocument/2006/relationships/hyperlink" Target="https://www.rainbowmigration.org.uk/our-current-funders/" TargetMode="External"/><Relationship Id="rId15" Type="http://schemas.openxmlformats.org/officeDocument/2006/relationships/hyperlink" Target="https://www.gbnews.com/news/migrant-charity-lottery-funding-asylum-seek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