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Rainbow Migration Lottery Funding: What the Public Records Show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charity supporting LGBTQI+ people seeking asylum in the UK has faced criticism over how it uses public grant funding. Its accounts and government data offer useful context: they show the scale and purpose of the support, while also making clear that funding for core costs is not, by itself, evidence of wrongdoing.</w:t>
      </w:r>
      <w:r/>
    </w:p>
    <w:p>
      <w:pPr>
        <w:pStyle w:val="Heading2"/>
      </w:pPr>
      <w:r>
        <w:t>What the accounts say about Rainbow Migration funding</w:t>
      </w:r>
      <w:r/>
    </w:p>
    <w:p>
      <w:r/>
      <w:r>
        <w:t xml:space="preserve">Rainbow Migration received £952,000 in National Lottery funding across 2023 and 2024, according to the figures cited in the reports. The charity's 2023 accounts provide a primary record of its finances, including income and spending, and describe funding for staffing and core costs. </w:t>
      </w:r>
      <w:hyperlink r:id="rId9">
        <w:r>
          <w:rPr>
            <w:color w:val="0000EE"/>
            <w:u w:val="single"/>
          </w:rPr>
          <w:t>[2]</w:t>
        </w:r>
      </w:hyperlink>
      <w:r/>
    </w:p>
    <w:p>
      <w:r/>
      <w:r>
        <w:t xml:space="preserve">Core funding can help a charity pay for the less visible work behind its services, such as staff time and day-to-day operations. That may not sound dramatic, but it can be what keeps advice and support available when people need it. The amount alone doesn't show whether a grant was used properly or whether particular activity was funded. </w:t>
      </w:r>
      <w:hyperlink r:id="rId9">
        <w:r>
          <w:rPr>
            <w:color w:val="0000EE"/>
            <w:u w:val="single"/>
          </w:rPr>
          <w:t>[2]</w:t>
        </w:r>
      </w:hyperlink>
      <w:r>
        <w:t xml:space="preserve"> </w:t>
      </w:r>
      <w:hyperlink r:id="rId10">
        <w:r>
          <w:rPr>
            <w:color w:val="0000EE"/>
            <w:u w:val="single"/>
          </w:rPr>
          <w:t>[6]</w:t>
        </w:r>
      </w:hyperlink>
      <w:r/>
    </w:p>
    <w:p>
      <w:pPr>
        <w:pStyle w:val="Heading2"/>
      </w:pPr>
      <w:r>
        <w:t>Why the grant has attracted political criticism</w:t>
      </w:r>
      <w:r/>
    </w:p>
    <w:p>
      <w:r/>
      <w:r>
        <w:t xml:space="preserve">Critics argue that lottery funding should not support political campaigning, while Rainbow Migration's public work includes advocacy on immigration detention and asylum policy. Those are distinct questions: what the charity campaigns for, and what a particular grant allowed it to spend money on. The accounts and grant records are the place to check the funding details. </w:t>
      </w:r>
      <w:hyperlink r:id="rId9">
        <w:r>
          <w:rPr>
            <w:color w:val="0000EE"/>
            <w:u w:val="single"/>
          </w:rPr>
          <w:t>[2]</w:t>
        </w:r>
      </w:hyperlink>
      <w:r>
        <w:t xml:space="preserve"> </w:t>
      </w:r>
      <w:hyperlink r:id="rId10">
        <w:r>
          <w:rPr>
            <w:color w:val="0000EE"/>
            <w:u w:val="single"/>
          </w:rPr>
          <w:t>[6]</w:t>
        </w:r>
      </w:hyperlink>
      <w:r>
        <w:t xml:space="preserve"> </w:t>
      </w:r>
      <w:hyperlink r:id="rId11">
        <w:r>
          <w:rPr>
            <w:color w:val="0000EE"/>
            <w:u w:val="single"/>
          </w:rPr>
          <w:t>[7]</w:t>
        </w:r>
      </w:hyperlink>
      <w:r/>
    </w:p>
    <w:p>
      <w:r/>
      <w:r>
        <w:t xml:space="preserve">The charity's website also publishes commentary on LGBTQI+ rights, migration and colonialism, as well as a reading list exploring those themes. Such material helps explain why its work is contested, but a campaigning position shouldn't be mistaken for a finding about how grant money was spent. </w:t>
      </w:r>
      <w:hyperlink r:id="rId12">
        <w:r>
          <w:rPr>
            <w:color w:val="0000EE"/>
            <w:u w:val="single"/>
          </w:rPr>
          <w:t>[4]</w:t>
        </w:r>
      </w:hyperlink>
      <w:r>
        <w:t xml:space="preserve"> </w:t>
      </w:r>
      <w:hyperlink r:id="rId13">
        <w:r>
          <w:rPr>
            <w:color w:val="0000EE"/>
            <w:u w:val="single"/>
          </w:rPr>
          <w:t>[5]</w:t>
        </w:r>
      </w:hyperlink>
      <w:r/>
    </w:p>
    <w:p>
      <w:pPr>
        <w:pStyle w:val="Heading2"/>
      </w:pPr>
      <w:r>
        <w:t>What the asylum figures do - and don't - tell us</w:t>
      </w:r>
      <w:r/>
    </w:p>
    <w:p>
      <w:r/>
      <w:r>
        <w:t xml:space="preserve">Home Office statistics recorded 1,400 asylum claims based on sexual orientation in 2023, a rise of 90 per cent compared with 2021. That's a notable increase, but the figure counts claims; on its own, it doesn't establish how many were accepted, refused or fraudulent. </w:t>
      </w:r>
      <w:hyperlink r:id="rId14">
        <w:r>
          <w:rPr>
            <w:color w:val="0000EE"/>
            <w:u w:val="single"/>
          </w:rPr>
          <w:t>[3]</w:t>
        </w:r>
      </w:hyperlink>
      <w:r/>
    </w:p>
    <w:p>
      <w:r/>
      <w:r>
        <w:t xml:space="preserve">That distinction matters in a debate where individual cases can quickly become shorthand for a whole system. People seeking protection because of their sexual orientation may face serious risks if returned, while each asylum claim still has to be assessed on its own evidence. </w:t>
      </w:r>
      <w:hyperlink r:id="rId14">
        <w:r>
          <w:rPr>
            <w:color w:val="0000EE"/>
            <w:u w:val="single"/>
          </w:rPr>
          <w:t>[3]</w:t>
        </w:r>
      </w:hyperlink>
      <w:r/>
    </w:p>
    <w:p>
      <w:pPr>
        <w:pStyle w:val="Heading2"/>
      </w:pPr>
      <w:r>
        <w:t>How to read charity funding claims</w:t>
      </w:r>
      <w:r/>
    </w:p>
    <w:p>
      <w:r/>
      <w:r>
        <w:t xml:space="preserve">For readers trying to make sense of the row, start with the charity's accounts, then compare them with the funder's grant information. Check the period covered, the amount awarded and any stated purpose before drawing conclusions about a specific campaign or service. </w:t>
      </w:r>
      <w:hyperlink r:id="rId9">
        <w:r>
          <w:rPr>
            <w:color w:val="0000EE"/>
            <w:u w:val="single"/>
          </w:rPr>
          <w:t>[2]</w:t>
        </w:r>
      </w:hyperlink>
      <w:r>
        <w:t xml:space="preserve"> </w:t>
      </w:r>
      <w:hyperlink r:id="rId10">
        <w:r>
          <w:rPr>
            <w:color w:val="0000EE"/>
            <w:u w:val="single"/>
          </w:rPr>
          <w:t>[6]</w:t>
        </w:r>
      </w:hyperlink>
      <w:r>
        <w:t xml:space="preserve"> </w:t>
      </w:r>
      <w:hyperlink r:id="rId11">
        <w:r>
          <w:rPr>
            <w:color w:val="0000EE"/>
            <w:u w:val="single"/>
          </w:rPr>
          <w:t>[7]</w:t>
        </w:r>
      </w:hyperlink>
      <w:r/>
    </w:p>
    <w:p>
      <w:r/>
      <w:r>
        <w:t xml:space="preserve">It's also worth separating verified figures from political claims and commentary. A grant total tells you how much funding was recorded; it doesn't, without more detail, settle whether that funding was appropriate or how it shaped the charity's public activity. </w:t>
      </w:r>
      <w:hyperlink r:id="rId9">
        <w:r>
          <w:rPr>
            <w:color w:val="0000EE"/>
            <w:u w:val="single"/>
          </w:rPr>
          <w:t>[2]</w:t>
        </w:r>
      </w:hyperlink>
      <w:r>
        <w:t xml:space="preserve"> </w:t>
      </w:r>
      <w:hyperlink r:id="rId10">
        <w:r>
          <w:rPr>
            <w:color w:val="0000EE"/>
            <w:u w:val="single"/>
          </w:rPr>
          <w:t>[6]</w:t>
        </w:r>
      </w:hyperlink>
      <w:r/>
    </w:p>
    <w:p>
      <w:pPr>
        <w:pStyle w:val="Heading2"/>
      </w:pPr>
      <w:r>
        <w:t>The wider question is transparency</w:t>
      </w:r>
      <w:r/>
    </w:p>
    <w:p>
      <w:r/>
      <w:r>
        <w:t xml:space="preserve">Public funding for charities often prompts a fair question: what was the money meant to support, and how can the public check? Clear accounts and accessible grant records help answer the financial part, while arguments about immigration policy remain a separate and deeply contested debate. </w:t>
      </w:r>
      <w:hyperlink r:id="rId9">
        <w:r>
          <w:rPr>
            <w:color w:val="0000EE"/>
            <w:u w:val="single"/>
          </w:rPr>
          <w:t>[2]</w:t>
        </w:r>
      </w:hyperlink>
      <w:r>
        <w:t xml:space="preserve"> </w:t>
      </w:r>
      <w:hyperlink r:id="rId10">
        <w:r>
          <w:rPr>
            <w:color w:val="0000EE"/>
            <w:u w:val="single"/>
          </w:rPr>
          <w:t>[6]</w:t>
        </w:r>
      </w:hyperlink>
      <w:r>
        <w:t xml:space="preserve"> </w:t>
      </w:r>
      <w:hyperlink r:id="rId11">
        <w:r>
          <w:rPr>
            <w:color w:val="0000EE"/>
            <w:u w:val="single"/>
          </w:rPr>
          <w:t>[7]</w:t>
        </w:r>
      </w:hyperlink>
      <w:r/>
    </w:p>
    <w:p>
      <w:r/>
      <w:r>
        <w:t xml:space="preserve">For now, the most useful takeaway is to keep the figures in context. A sharp rise in claims, an advocacy campaign and a large grant are all relevant facts, but none should be treated as proof of a different claim without supporting evidence. </w:t>
      </w:r>
      <w:hyperlink r:id="rId9">
        <w:r>
          <w:rPr>
            <w:color w:val="0000EE"/>
            <w:u w:val="single"/>
          </w:rPr>
          <w:t>[2]</w:t>
        </w:r>
      </w:hyperlink>
      <w:r>
        <w:t xml:space="preserve"> </w:t>
      </w:r>
      <w:hyperlink r:id="rId14">
        <w:r>
          <w:rPr>
            <w:color w:val="0000EE"/>
            <w:u w:val="single"/>
          </w:rPr>
          <w:t>[3]</w:t>
        </w:r>
      </w:hyperlink>
      <w:r>
        <w:t xml:space="preserve"> </w:t>
      </w:r>
      <w:hyperlink r:id="rId10">
        <w:r>
          <w:rPr>
            <w:color w:val="0000EE"/>
            <w:u w:val="single"/>
          </w:rPr>
          <w:t>[6]</w:t>
        </w:r>
      </w:hyperlink>
      <w:r/>
    </w:p>
    <w:p>
      <w:r/>
      <w:r>
        <w:t>Check the accounts and grant records before drawing your own conclusions.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0">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[6]</w:t>
        </w:r>
      </w:hyperlink>
      <w:r>
        <w:t xml:space="preserve">, </w:t>
      </w:r>
      <w:hyperlink r:id="rId11">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[3]</w:t>
        </w:r>
      </w:hyperlink>
      <w:r>
        <w:t xml:space="preserve">- Paragraph 7: </w:t>
      </w:r>
      <w:hyperlink r:id="rId14">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[6]</w:t>
        </w:r>
      </w:hyperlink>
      <w:r>
        <w:t xml:space="preserve">, </w:t>
      </w:r>
      <w:hyperlink r:id="rId11">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[6]</w:t>
        </w:r>
      </w:hyperlink>
      <w:r>
        <w:t xml:space="preserve">, </w:t>
      </w:r>
      <w:hyperlink r:id="rId11">
        <w:r>
          <w:rPr>
            <w:color w:val="0000EE"/>
            <w:u w:val="single"/>
          </w:rPr>
          <w:t>[7]</w:t>
        </w:r>
      </w:hyperlink>
      <w:r>
        <w:t xml:space="preserve">- Paragraph 11: </w:t>
      </w:r>
      <w:hyperlink r:id="rId9">
        <w:r>
          <w:rPr>
            <w:color w:val="0000EE"/>
            <w:u w:val="single"/>
          </w:rPr>
          <w:t>[2]</w:t>
        </w:r>
      </w:hyperlink>
      <w:r>
        <w:t xml:space="preserve">, </w:t>
      </w:r>
      <w:hyperlink r:id="rId14">
        <w:r>
          <w:rPr>
            <w:color w:val="0000EE"/>
            <w:u w:val="single"/>
          </w:rPr>
          <w:t>[3]</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https://www.dailymail.com/news/article-16273023/LGBT-migrant-charity-pockets-lottery-money.html?ns_mchannel=rss&amp;ito=1490&amp;ns_campaign=1490</w:t>
        </w:r>
      </w:hyperlink>
      <w:r>
        <w:t xml:space="preserve"> - Please view link - unable to able to access data</w:t>
      </w:r>
      <w:r/>
    </w:p>
    <w:p>
      <w:pPr>
        <w:pStyle w:val="ListNumber"/>
        <w:spacing w:line="240" w:lineRule="auto"/>
        <w:ind w:left="720"/>
      </w:pPr>
      <w:r/>
      <w:hyperlink r:id="rId9">
        <w:r>
          <w:rPr>
            <w:color w:val="0000EE"/>
            <w:u w:val="single"/>
          </w:rPr>
          <w:t>https://www.rainbowmigration.org.uk/wp-content/uploads/2024/09/Rainbow-Migration-annual-report-and-accounts-31-December-2023-signed.pdf</w:t>
        </w:r>
      </w:hyperlink>
      <w:r>
        <w:t xml:space="preserve"> - Rainbow Migration’s annual report and accounts for the year ended 31 December 2023 describe its charitable work, fundraising, governance and finances. The report says the organisation supports LGBTQI+ people through the asylum and immigration systems, including by providing advice and legal services. It records total income of £833,000 for 2023, against a fundraising objective of £760,000, and identifies the National Lottery Community Fund among its grant funders. It also lists donations from individuals and groups, commercial organisations and law firms, alongside subscriptions from members and supporters. The report describes the charity’s fundraising strategy and its plans to secure income from a range of sources. This is a primary source for the organisation’s reported finances and funders, rather than an independent assessment of how every grant was spent. It covers the 2023 financial year and therefore does not, by itself, establish the total amount of National Lottery funding received across both 2023 and 2024. The accounts provide useful context for checking the article’s claims about the charity’s funding and operating costs. Readers should distinguish total income from any particular grant, and should consult the 2024 accounts or the funder’s award records to establish later-year figures and grant purposes.</w:t>
      </w:r>
      <w:r/>
    </w:p>
    <w:p>
      <w:pPr>
        <w:pStyle w:val="ListNumber"/>
        <w:spacing w:line="240" w:lineRule="auto"/>
        <w:ind w:left="720"/>
      </w:pPr>
      <w:r/>
      <w:hyperlink r:id="rId14">
        <w:r>
          <w:rPr>
            <w:color w:val="0000EE"/>
            <w:u w:val="single"/>
          </w:rPr>
          <w:t>https://www.gov.uk/government/statistics/immigration-system-statistics-year-ending-june-2024/asylum-claims-on-the-basis-of-sexual-orientation-2023</w:t>
        </w:r>
      </w:hyperlink>
      <w:r>
        <w:t xml:space="preserve"> - This Home Office statistical release reports asylum claims in the UK where sexual orientation formed part of the basis of a claim. It records 1,377 such applications from main applicants in 2023, representing two per cent of all asylum claims. The figure is an administrative count of claims, not a verified count of people who identify as lesbian, gay or bisexual: applicants are not required to disclose their sexual orientation, and a claim may raise this issue at different stages. The release notes that recorded claims fell by 49 per cent compared with 2022, rather than rising over that comparison. It also reports that 62 per cent of initial decisions on these claims in 2023 resulted in protection or other leave, compared with 67 per cent for non-LGB claims. Decisions made during 2023 may concern applications lodged earlier, so application and decision figures should not be treated as directly comparable. The statistics do not establish whether sexual orientation was the sole ground for a claim or whether it determined the outcome. The publication therefore provides an official source for assessing reported claim volumes, decision outcomes and important limitations. It does not support conclusions that applicants’ identities have been independently confirmed or that the numbers alone demonstrate abuse of the asylum system.</w:t>
      </w:r>
      <w:r/>
    </w:p>
    <w:p>
      <w:pPr>
        <w:pStyle w:val="ListNumber"/>
        <w:spacing w:line="240" w:lineRule="auto"/>
        <w:ind w:left="720"/>
      </w:pPr>
      <w:r/>
      <w:hyperlink r:id="rId12">
        <w:r>
          <w:rPr>
            <w:color w:val="0000EE"/>
            <w:u w:val="single"/>
          </w:rPr>
          <w:t>https://www.rainbowmigration.org.uk/news/book-list-queerness-colonialism/</w:t>
        </w:r>
      </w:hyperlink>
      <w:r>
        <w:t xml:space="preserve"> - Rainbow Migration’s Pride 2026 page presents a reading list about connections between queerness and colonialism. The organisation says the titles were recommended by its Refugee Advisory Panel, LGBTQI+ people going through the asylum system and staff. It describes the list as an invitation to explore issues including the myth that LGBTQI+ identities are new, the colonial histories of anti-LGBTQI+ laws and attitudes, and the influence of narrow or Western ideas about queerness. The page also points readers towards places to access the books, including a bookshop and participating libraries, and mentions a related selection of films. This source supports the article’s account that Rainbow Migration has published a Pride 2026 reading list engaging with queer identity and colonialism. The page presents the organisation’s own educational and cultural framing; it is not a neutral or independently verified account of the historical arguments made by every listed author. Nor does the list alone establish the charity’s funding, campaigning positions on detention, or its statements about the state. Readers seeking the contents or arguments of particular titles would need to consult those books individually. The page is relevant for verifying the existence, stated purpose and contributors of the reading list, while keeping clear the distinction between the charity’s own description and an external evaluation of its political or academic claims.</w:t>
      </w:r>
      <w:r/>
    </w:p>
    <w:p>
      <w:pPr>
        <w:pStyle w:val="ListNumber"/>
        <w:spacing w:line="240" w:lineRule="auto"/>
        <w:ind w:left="720"/>
      </w:pPr>
      <w:r/>
      <w:hyperlink r:id="rId13">
        <w:r>
          <w:rPr>
            <w:color w:val="0000EE"/>
            <w:u w:val="single"/>
          </w:rPr>
          <w:t>https://www.rainbowmigration.org.uk/news/category/uncategorized/page/5/</w:t>
        </w:r>
      </w:hyperlink>
      <w:r>
        <w:t xml:space="preserve"> - This Rainbow Migration news archive includes an article summarising research into the experiences of LGBTQI+ people seeking asylum in England and Wales. It introduces necropolitics as a framework for analysing how state action and policy can determine who is exposed to harm, exclusion or death. The charity’s explanation says the term may refer both to literal death and to being excluded from society through deprivation or barriers. In the asylum context, the article argues that LGBTQI+ people may be denied rights and support because of intersecting characteristics, including sexuality, gender identity, class, race and immigration status. It describes the research as drawing on interviews with 26 LGBTQI+ people seeking asylum and professionals, and outlines themes involving state control and obstacles in everyday life. The page supports the article’s attribution of language about people being “metaphorically or literally killed” to Rainbow Migration’s discussion of state violence. That phrase appears within a theoretical explanation of necropolitics, not as a statistical finding that the British state directly killed a specified number of asylum seekers. The page is the charity’s presentation of the research and its interpretation; readers should consult the linked underlying study for its methodology and detailed findings. It provides context for the wording while distinguishing political analysis from independently measured mortality evidence.</w:t>
      </w:r>
      <w:r/>
    </w:p>
    <w:p>
      <w:pPr>
        <w:pStyle w:val="ListNumber"/>
        <w:spacing w:line="240" w:lineRule="auto"/>
        <w:ind w:left="720"/>
      </w:pPr>
      <w:r/>
      <w:hyperlink r:id="rId10">
        <w:r>
          <w:rPr>
            <w:color w:val="0000EE"/>
            <w:u w:val="single"/>
          </w:rPr>
          <w:t>https://atjf.org.uk/grants/rainbow-migration</w:t>
        </w:r>
      </w:hyperlink>
      <w:r>
        <w:t xml:space="preserve"> - The Access to Justice Foundation’s grant page describes funding awarded to Rainbow Migration under its Improving Lives Through Advice programme. It lists a £500,000 award in 2024 and says the charity offers practical and emotional legal support to LGBTQ+ people, aiming to improve confidence and self-esteem and reduce isolation. The page explains that the grant is intended to help Rainbow Migration develop additional pro bono partnerships, create resources for service users and the wider sector, and reallocate unrestricted funds from legal services to fundraising in support of long-term sustainability. This is useful independent information about a substantial grant to the charity and the stated purpose of that award. It is not, however, evidence that the £500,000 came from National Lottery funds: the page identifies the Access to Justice Foundation as the grant programme, so it should not be conflated with Lottery Community Fund awards. Nor does the page say that this particular grant was spent on political campaigning. The source helps place the article’s funding claims in context by showing that charity grants can support legal advice, resources, partnerships and organisational sustainability. To verify the precise Lottery funding totals reported for 2023 and 2024, readers should examine the relevant annual accounts and grant records, rather than treating this separate foundation award as confirmation.</w:t>
      </w:r>
      <w:r/>
    </w:p>
    <w:p>
      <w:pPr>
        <w:pStyle w:val="ListNumber"/>
        <w:spacing w:line="240" w:lineRule="auto"/>
        <w:ind w:left="720"/>
      </w:pPr>
      <w:r/>
      <w:hyperlink r:id="rId11">
        <w:r>
          <w:rPr>
            <w:color w:val="0000EE"/>
            <w:u w:val="single"/>
          </w:rPr>
          <w:t>https://grantnav.threesixtygiving.org/org/GB-CHC-1158228</w:t>
        </w:r>
      </w:hyperlink>
      <w:r>
        <w:t xml:space="preserve"> - 360Giving’s GrantNav profile collates grant information associated with Rainbow Migration, also listed under its former or alternative organisational names. The page identifies the charity by its Charity Commission number and explains that grant information is supplied by funders publishing data in the 360Giving Data Standard. Its summary lists grants from multiple organisations, including the National Lottery Community Fund, and displays award counts and reported totals. The profile is a useful route to examining grants recorded by participating funders and understanding that Rainbow Migration has received support from a range of charitable and public-interest sources. The page also cautions that some organisational information has been added from other sources and is not verified by 360Giving. Grant databases depend on submitted records and may not capture every award or fully describe how funds were spent. A displayed grant total should therefore not automatically be interpreted as cash received in a particular pair of financial years, nor as evidence that grant money funded campaigning. The profile supports checking the existence of recorded awards and identifying funders, but annual reports and individual grant-maker records are better sources for financial-year accounting and the stated purpose of a specific award. It provides useful context for evaluating funding claims without establishing all the article’s assertions about expenditure or political activity.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ainbowmigration.org.uk/wp-content/uploads/2024/09/Rainbow-Migration-annual-report-and-accounts-31-December-2023-signed.pdf" TargetMode="External"/><Relationship Id="rId10" Type="http://schemas.openxmlformats.org/officeDocument/2006/relationships/hyperlink" Target="https://atjf.org.uk/grants/rainbow-migration" TargetMode="External"/><Relationship Id="rId11" Type="http://schemas.openxmlformats.org/officeDocument/2006/relationships/hyperlink" Target="https://grantnav.threesixtygiving.org/org/GB-CHC-1158228" TargetMode="External"/><Relationship Id="rId12" Type="http://schemas.openxmlformats.org/officeDocument/2006/relationships/hyperlink" Target="https://www.rainbowmigration.org.uk/news/book-list-queerness-colonialism/" TargetMode="External"/><Relationship Id="rId13" Type="http://schemas.openxmlformats.org/officeDocument/2006/relationships/hyperlink" Target="https://www.rainbowmigration.org.uk/news/category/uncategorized/page/5/" TargetMode="External"/><Relationship Id="rId14" Type="http://schemas.openxmlformats.org/officeDocument/2006/relationships/hyperlink" Target="https://www.gov.uk/government/statistics/immigration-system-statistics-year-ending-june-2024/asylum-claims-on-the-basis-of-sexual-orientation-2023" TargetMode="External"/><Relationship Id="rId15" Type="http://schemas.openxmlformats.org/officeDocument/2006/relationships/hyperlink" Target="https://www.dailymail.com/news/article-16273023/LGBT-migrant-charity-pockets-lottery-money.html?ns_mchannel=rss&amp;ito=1490&amp;ns_campaign=149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