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Gay Twink Identity and Ageing: Finding Confidence Beyond Youth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29-year-old gay man is worried that changes in his appearance mean his twink identity is slipping away. His question touches on a wider tension in gay culture, where youth and a particular look can bring attention and confidence, but growing older needn't mean losing either.</w:t>
      </w:r>
      <w:r/>
    </w:p>
    <w:p>
      <w:pPr>
        <w:pStyle w:val="Heading2"/>
      </w:pPr>
      <w:r>
        <w:t>When “handsome” feels like a surprise</w:t>
      </w:r>
      <w:r/>
    </w:p>
    <w:p>
      <w:r/>
      <w:r>
        <w:t>A reader writing to Queerty describes a familiar wardrobe of baby tees, crop tops and tiny running shorts, plus a decade-old Grindr name built around being a twink. At 29, he says his face looks more grown-up and he's filling out a little. Then someone calls him “handsome” instead of “cute”, and the shift suddenly feels real.</w:t>
      </w:r>
      <w:r/>
    </w:p>
    <w:p>
      <w:r/>
      <w:r>
        <w:t>The worry isn't simply about looking older. The reader says being skinny and boyish has become a large part of his identity and the attention he receives from men. If that familiar description changes, he's left wondering who he is meant to be next.</w:t>
      </w:r>
      <w:r/>
    </w:p>
    <w:p>
      <w:pPr>
        <w:pStyle w:val="Heading2"/>
      </w:pPr>
      <w:r>
        <w:t>Gay culture can make youth feel like the whole story</w:t>
      </w:r>
      <w:r/>
    </w:p>
    <w:p>
      <w:r/>
      <w:r>
        <w:t xml:space="preserve">The letter points to a broader pressure: gay culture can place a high value on youth and specific ideals of attractiveness. Research on gay men's experiences of ageing and body image offers context for why those expectations can shape how people see themselves. </w:t>
      </w:r>
      <w:hyperlink r:id="rId9">
        <w:r>
          <w:rPr>
            <w:color w:val="0000EE"/>
            <w:u w:val="single"/>
          </w:rPr>
          <w:t>[3]</w:t>
        </w:r>
      </w:hyperlink>
      <w:r>
        <w:t xml:space="preserve"> </w:t>
      </w:r>
      <w:hyperlink r:id="rId10">
        <w:r>
          <w:rPr>
            <w:color w:val="0000EE"/>
            <w:u w:val="single"/>
          </w:rPr>
          <w:t>[4]</w:t>
        </w:r>
      </w:hyperlink>
      <w:r/>
    </w:p>
    <w:p>
      <w:r/>
      <w:r>
        <w:t>That doesn't mean every gay man values the same look, or that growing older makes someone less attractive. But when one label has brought years of recognition, even a small change in how others describe you can feel bigger than it is.</w:t>
      </w:r>
      <w:r/>
    </w:p>
    <w:p>
      <w:pPr>
        <w:pStyle w:val="Heading2"/>
      </w:pPr>
      <w:r>
        <w:t>Your identity doesn't have to fit one label</w:t>
      </w:r>
      <w:r/>
    </w:p>
    <w:p>
      <w:r/>
      <w:r>
        <w:t xml:space="preserve">Being a twink may be a fun description, a style, or a source of confidence. It doesn't have to be a lifetime contract. Research examining masculinity and gay men's identities provides a useful reminder that ideas about how men should look and act are socially shaped, not fixed rules everyone must follow. </w:t>
      </w:r>
      <w:hyperlink r:id="rId11">
        <w:r>
          <w:rPr>
            <w:color w:val="0000EE"/>
            <w:u w:val="single"/>
          </w:rPr>
          <w:t>[5]</w:t>
        </w:r>
      </w:hyperlink>
      <w:r>
        <w:t xml:space="preserve"> </w:t>
      </w:r>
      <w:hyperlink r:id="rId12">
        <w:r>
          <w:rPr>
            <w:color w:val="0000EE"/>
            <w:u w:val="single"/>
          </w:rPr>
          <w:t>[6]</w:t>
        </w:r>
      </w:hyperlink>
      <w:r/>
    </w:p>
    <w:p>
      <w:r/>
      <w:r>
        <w:t>And the reader hasn't said he wants to give up his clothes or his sense of humour. The real question is whether he can keep the parts he likes while making room for others. A new compliment doesn't erase the old version of you.</w:t>
      </w:r>
      <w:r/>
    </w:p>
    <w:p>
      <w:pPr>
        <w:pStyle w:val="Heading2"/>
      </w:pPr>
      <w:r>
        <w:t>Try change on your own terms</w:t>
      </w:r>
      <w:r/>
    </w:p>
    <w:p>
      <w:r/>
      <w:r>
        <w:t>If your appearance is shifting, you don't need to rush into a new label. Notice what makes you feel comfortable, whether that's keeping the baby tees, trying a different fit, or simply letting “cute” and “handsome” coexist. There's no deadline for deciding what you call yourself.</w:t>
      </w:r>
      <w:r/>
    </w:p>
    <w:p>
      <w:r/>
      <w:r>
        <w:t xml:space="preserve">It may also help to separate your own preferences from the attention you're used to receiving. Studies of ageing and wellbeing underline the importance of looking beyond a single measure of worth or identity. </w:t>
      </w:r>
      <w:hyperlink r:id="rId9">
        <w:r>
          <w:rPr>
            <w:color w:val="0000EE"/>
            <w:u w:val="single"/>
          </w:rPr>
          <w:t>[3]</w:t>
        </w:r>
      </w:hyperlink>
      <w:r>
        <w:t xml:space="preserve"> </w:t>
      </w:r>
      <w:hyperlink r:id="rId13">
        <w:r>
          <w:rPr>
            <w:color w:val="0000EE"/>
            <w:u w:val="single"/>
          </w:rPr>
          <w:t>[7]</w:t>
        </w:r>
      </w:hyperlink>
      <w:r>
        <w:t xml:space="preserve"> Your body can change without your whole personality needing a rebrand.</w:t>
      </w:r>
      <w:r/>
    </w:p>
    <w:p>
      <w:pPr>
        <w:pStyle w:val="Heading2"/>
      </w:pPr>
      <w:r>
        <w:t>Growing older can widen the picture</w:t>
      </w:r>
      <w:r/>
    </w:p>
    <w:p>
      <w:r/>
      <w:r>
        <w:t xml:space="preserve">The reader is right that ageing is inevitable, but inevitability isn't the same as loss. A more grown-up face or a little extra filling out doesn't dictate who you can date, how you dress, or what makes you feel attractive. Research on later-life experiences also shows why ageing is worth considering as a varied, personal process rather than one universal decline. </w:t>
      </w:r>
      <w:hyperlink r:id="rId10">
        <w:r>
          <w:rPr>
            <w:color w:val="0000EE"/>
            <w:u w:val="single"/>
          </w:rPr>
          <w:t>[4]</w:t>
        </w:r>
      </w:hyperlink>
      <w:r>
        <w:t xml:space="preserve"> </w:t>
      </w:r>
      <w:hyperlink r:id="rId12">
        <w:r>
          <w:rPr>
            <w:color w:val="0000EE"/>
            <w:u w:val="single"/>
          </w:rPr>
          <w:t>[6]</w:t>
        </w:r>
      </w:hyperlink>
      <w:r>
        <w:t xml:space="preserve"> </w:t>
      </w:r>
      <w:hyperlink r:id="rId13">
        <w:r>
          <w:rPr>
            <w:color w:val="0000EE"/>
            <w:u w:val="single"/>
          </w:rPr>
          <w:t>[7]</w:t>
        </w:r>
      </w:hyperlink>
      <w:r/>
    </w:p>
    <w:p>
      <w:r/>
      <w:r>
        <w:t>Perhaps the most reassuring answer is also the simplest: you don't have to know who you're becoming just yet. “Twink” can remain part of your story without having to be its entire plot.</w:t>
      </w:r>
      <w:r/>
    </w:p>
    <w:p>
      <w:r/>
      <w:r>
        <w:t>You can keep what you love and let the rest evolve at its own pace.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9">
        <w:r>
          <w:rPr>
            <w:color w:val="0000EE"/>
            <w:u w:val="single"/>
          </w:rPr>
          <w:t>[3]</w:t>
        </w:r>
      </w:hyperlink>
      <w:r>
        <w:t xml:space="preserve">, </w:t>
      </w:r>
      <w:hyperlink r:id="rId13">
        <w:r>
          <w:rPr>
            <w:color w:val="0000EE"/>
            <w:u w:val="single"/>
          </w:rPr>
          <w:t>[7]</w:t>
        </w:r>
      </w:hyperlink>
      <w:r>
        <w:t xml:space="preserve">- Paragraph 4: </w:t>
      </w:r>
      <w:hyperlink r:id="rId10">
        <w:r>
          <w:rPr>
            <w:color w:val="0000EE"/>
            <w:u w:val="single"/>
          </w:rPr>
          <w:t>[4]</w:t>
        </w:r>
      </w:hyperlink>
      <w:r>
        <w:t xml:space="preserve">,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https://meaws.com/news/queerty-crossword-nov-7-2026/106065</w:t>
        </w:r>
      </w:hyperlink>
      <w:r>
        <w:t xml:space="preserve"> - Please view link - unable to able to access data</w:t>
      </w:r>
      <w:r/>
    </w:p>
    <w:p>
      <w:pPr>
        <w:pStyle w:val="ListNumber"/>
        <w:spacing w:line="240" w:lineRule="auto"/>
        <w:ind w:left="720"/>
      </w:pPr>
      <w:r/>
      <w:hyperlink r:id="rId14">
        <w:r>
          <w:rPr>
            <w:color w:val="0000EE"/>
            <w:u w:val="single"/>
          </w:rPr>
          <w:t>https://meaws.com/news/queerty-crossword-nov-7-2026/106065</w:t>
        </w:r>
      </w:hyperlink>
      <w:r>
        <w:t xml:space="preserve"> - The supplied Meaws page is the source of the advice-column excerpt. It presents a 29-year-old gay man’s anxiety that changes in his appearance and body are ending the “twink” phase that has shaped his confidence, clothing and dating-app identity. The writer is unsettled by being described as handsome rather than cute and worries that he does not know who he should become after youth and boyishness. The reply begins by observing that gay culture often rewards and values youth. This page therefore supports the article-specific details: the correspondent’s age, his self-description, his changing appearance, his attachment to a particular identity and the stated concern about youth-centred expectations. It is a first-person advice feature, not a scientific study, so it records one person’s experience rather than establishing how common these concerns are or proving that all gay men experience the same pressures. The page also includes newsletter promotion, which is separate from the correspondent’s question. The link was supplied in the prompt; it returned a restricted response when checked, so its accessibility could not be independently confirmed. It should be treated as the primary source for the excerpt, while the research links below provide broader context about ageing, identity, bodies and ageism.</w:t>
      </w:r>
      <w:r/>
    </w:p>
    <w:p>
      <w:pPr>
        <w:pStyle w:val="ListNumber"/>
        <w:spacing w:line="240" w:lineRule="auto"/>
        <w:ind w:left="720"/>
      </w:pPr>
      <w:r/>
      <w:hyperlink r:id="rId9">
        <w:r>
          <w:rPr>
            <w:color w:val="0000EE"/>
            <w:u w:val="single"/>
          </w:rPr>
          <w:t>https://pmc.ncbi.nlm.nih.gov/articles/PMC4689679/</w:t>
        </w:r>
      </w:hyperlink>
      <w:r>
        <w:t xml:space="preserve"> - This peer-reviewed study examines internalised gay ageism: the feeling of being devalued or denigrated because of ageing in the context of a gay male identity. The authors analyse data from 312 gay-identified men aged 48 to 78, whose average age was about 61. They consider how age-related stigma and the sense of mattering relate to depressive symptoms. The paper explains that gay men may experience “accelerated ageing”, feeling old at a relatively young age because youth and physical attractiveness are especially prized in some gay settings. That idea provides useful context for the correspondent’s fear that his desirability and identity might change as he grows older. The study is not about 29-year-olds specifically, and its participants were substantially older, so it cannot establish what the correspondent will experience. Nor does it suggest that every gay man values youth in the same way. Its contribution is to show that age-related beliefs can be understood as a social stressor, rather than simply a private worry about appearance. The authors’ focus on mattering also speaks to the question of whether personal worth and belonging depend on being seen as young or attractive. As with any observational study, associations should not be read as proof of cause and effect.</w:t>
      </w:r>
      <w:r/>
    </w:p>
    <w:p>
      <w:pPr>
        <w:pStyle w:val="ListNumber"/>
        <w:spacing w:line="240" w:lineRule="auto"/>
        <w:ind w:left="720"/>
      </w:pPr>
      <w:r/>
      <w:hyperlink r:id="rId10">
        <w:r>
          <w:rPr>
            <w:color w:val="0000EE"/>
            <w:u w:val="single"/>
          </w:rPr>
          <w:t>https://pmc.ncbi.nlm.nih.gov/articles/PMC3712281/</w:t>
        </w:r>
      </w:hyperlink>
      <w:r>
        <w:t xml:space="preserve"> - This research article explores how men in midlife talk about ageing, their bodies and masculinity. Its analysis discusses cultural ideas that portray youthful bodies as energetic, attractive and virile, while representing ageing bodies through decline. The authors consider how these standards influence men’s bodily experiences and self-understanding. The article is relevant to the advice-column writer’s concern that a more mature face or fuller body might alter how others describe him and how he sees himself. It offers a wider framework for understanding why a change from “cute” to “handsome” might feel emotionally significant: appearance can be connected to social recognition and identity, not just physical features. The paper also discusses how body expectations can affect relationships and wellbeing. Its conclusions should be applied with care: the research concerns midlife men and does not establish that a 29-year-old is ageing in any unusual way, nor that all gay men experience body changes negatively. Instead, it supports the broader point that cultural standards can shape how men interpret ageing and attractiveness. The article is an academic source rather than personal advice, and it does not prescribe a particular identity or appearance. Its findings help contextualise the correspondent’s apprehension without treating his fears as inevitable.</w:t>
      </w:r>
      <w:r/>
    </w:p>
    <w:p>
      <w:pPr>
        <w:pStyle w:val="ListNumber"/>
        <w:spacing w:line="240" w:lineRule="auto"/>
        <w:ind w:left="720"/>
      </w:pPr>
      <w:r/>
      <w:hyperlink r:id="rId11">
        <w:r>
          <w:rPr>
            <w:color w:val="0000EE"/>
            <w:u w:val="single"/>
          </w:rPr>
          <w:t>https://journals.sagepub.com/doi/10.1177/1097184X08325225</w:t>
        </w:r>
      </w:hyperlink>
      <w:r>
        <w:t xml:space="preserve"> - This article examines the bodily experiences of ageing through intensive interviews with ten gay men in their sixties, seventies and eighties. The researchers use these accounts to explore how ideas about youthfulness and age shape older men’s experiences of their own bodies. The study is pertinent to the excerpt because it considers the relationship between physical change, gay identity and cultural expectations about being young. It offers a qualitative perspective: rather than measuring how widespread a particular attitude is, it listens closely to how a small group of men describe their lives. The participants’ ages differ markedly from the correspondent’s 29 years, so their experiences should not be treated as predictions of his future. The article nevertheless helps show that questions of identity and desirability can remain meaningful across different stages of life, and that social ideas about ageing influence how people interpret bodily change. It also avoids reducing ageing to a simple loss of attractiveness; its focus is on lived experience and on how cultural notions of age are understood. The source supports discussion of youth-oriented expectations and gay men’s embodied experiences, but it cannot validate the advice column’s individual claims or establish that every gay community prizes youth equally.</w:t>
      </w:r>
      <w:r/>
    </w:p>
    <w:p>
      <w:pPr>
        <w:pStyle w:val="ListNumber"/>
        <w:spacing w:line="240" w:lineRule="auto"/>
        <w:ind w:left="720"/>
      </w:pPr>
      <w:r/>
      <w:hyperlink r:id="rId12">
        <w:r>
          <w:rPr>
            <w:color w:val="0000EE"/>
            <w:u w:val="single"/>
          </w:rPr>
          <w:t>https://www.sciencedirect.com/science/article/pii/S0277953615302057</w:t>
        </w:r>
      </w:hyperlink>
      <w:r>
        <w:t xml:space="preserve"> - This study introduces and examines internalised gay ageism among midlife and older gay-identified men. The authors describe it as a sense of being depreciated because one is ageing within a gay male identity, and consider it in relation to depressive symptoms and feelings of mattering. The research draws on 312 participants in the Multicenter AIDS Cohort Study, with an average age of about 61 and an age range from 48 to 78. The article notes that youth and physical attractiveness can be disproportionately valued in gay male contexts, potentially contributing to a sense of ageing sooner than one’s chronological age might suggest. These findings offer context for the advice-column writer’s worry that changing from a boyish appearance could mean losing social value or a familiar identity. However, the sample does not represent all gay men and is not a study of people aged 29. The findings describe associations and experiences among older participants, rather than proving that youth-centred culture causes a particular individual’s anxiety. The source is useful for understanding age-related stigma as a social and psychological issue, not merely a personal reaction to wrinkles or weight. It complements the correspondent’s account while keeping the limits of the evidence clear.</w:t>
      </w:r>
      <w:r/>
    </w:p>
    <w:p>
      <w:pPr>
        <w:pStyle w:val="ListNumber"/>
        <w:spacing w:line="240" w:lineRule="auto"/>
        <w:ind w:left="720"/>
      </w:pPr>
      <w:r/>
      <w:hyperlink r:id="rId13">
        <w:r>
          <w:rPr>
            <w:color w:val="0000EE"/>
            <w:u w:val="single"/>
          </w:rPr>
          <w:t>https://academic.oup.com/psychsocgerontology/article/77/1/39/6264660</w:t>
        </w:r>
      </w:hyperlink>
      <w:r>
        <w:t xml:space="preserve"> - This study investigates connections between gay community involvement, self-appraisals and fitness engagement among middle-aged and older men who have sex with men. It considers body-image dissatisfaction and perceptions of ageing, and examines whether exercise-related engagement helps explain associations between community connection and those self-appraisals. The authors report that connection to the gay community may support resilience by reducing negative self-appraisals and encouraging strategies related to physical and psychological wellbeing. This is relevant to the correspondent’s fear that a change in appearance could leave him unsure of where he belongs. The paper points towards community connection as a possible source of support, rather than suggesting that an individual must preserve a youthful appearance to remain valued. Its participants were middle-aged and older, so its findings should not be directly generalised to a 29-year-old or taken as personal advice about exercise. The research also does not claim that every community is welcoming or that body-image concerns disappear through social connection. It offers evidence that relationships with a community can be associated with more positive self-appraisals among the group studied. As an academic article, it provides useful background for the excerpt’s broader themes of identity, appearance, ageing and belonging, while remaining distinct from the personal advice given to the letter writer.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mc.ncbi.nlm.nih.gov/articles/PMC4689679/" TargetMode="External"/><Relationship Id="rId10" Type="http://schemas.openxmlformats.org/officeDocument/2006/relationships/hyperlink" Target="https://pmc.ncbi.nlm.nih.gov/articles/PMC3712281/" TargetMode="External"/><Relationship Id="rId11" Type="http://schemas.openxmlformats.org/officeDocument/2006/relationships/hyperlink" Target="https://journals.sagepub.com/doi/10.1177/1097184X08325225" TargetMode="External"/><Relationship Id="rId12" Type="http://schemas.openxmlformats.org/officeDocument/2006/relationships/hyperlink" Target="https://www.sciencedirect.com/science/article/pii/S0277953615302057" TargetMode="External"/><Relationship Id="rId13" Type="http://schemas.openxmlformats.org/officeDocument/2006/relationships/hyperlink" Target="https://academic.oup.com/psychsocgerontology/article/77/1/39/6264660" TargetMode="External"/><Relationship Id="rId14" Type="http://schemas.openxmlformats.org/officeDocument/2006/relationships/hyperlink" Target="https://meaws.com/news/queerty-crossword-nov-7-2026/1060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