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Conversion Therapy Bill: Concerns Over Tavistock Whistleblowers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conversion practices law is prompting debate over how to protect people from coercion while allowing difficult conversations about gender identity. Former Tavistock clinician Dr David Bell says the bill could deter professionals and families from raising concerns about care for young people. The draft legislation, its safeguards and its parliamentary scrutiny are now central to the dispute.</w:t>
      </w:r>
      <w:r/>
    </w:p>
    <w:p>
      <w:pPr>
        <w:pStyle w:val="Heading2"/>
      </w:pPr>
      <w:r>
        <w:t>Essential Takeaways</w:t>
      </w:r>
      <w:r/>
      <w:r/>
    </w:p>
    <w:p>
      <w:pPr>
        <w:pStyle w:val="ListBullet"/>
        <w:spacing w:line="240" w:lineRule="auto"/>
        <w:ind w:left="720"/>
      </w:pPr>
      <w:r/>
      <w:r>
        <w:rPr>
          <w:b/>
        </w:rPr>
        <w:t>A draft bill is under scrutiny:</w:t>
      </w:r>
      <w:r>
        <w:t xml:space="preserve"> The Government has published proposed legislation on conversion practices, with parliamentary evidence sessions examining its provisions.</w:t>
      </w:r>
      <w:r/>
    </w:p>
    <w:p>
      <w:pPr>
        <w:pStyle w:val="ListBullet"/>
        <w:spacing w:line="240" w:lineRule="auto"/>
        <w:ind w:left="720"/>
      </w:pPr>
      <w:r/>
      <w:r>
        <w:rPr>
          <w:b/>
        </w:rPr>
        <w:t>Bell warns of a chilling effect:</w:t>
      </w:r>
      <w:r>
        <w:t xml:space="preserve"> The former Tavistock clinician argues the proposal could make professionals wary of discussing gender identity with young people.</w:t>
      </w:r>
      <w:r/>
    </w:p>
    <w:p>
      <w:pPr>
        <w:pStyle w:val="ListBullet"/>
        <w:spacing w:line="240" w:lineRule="auto"/>
        <w:ind w:left="720"/>
      </w:pPr>
      <w:r/>
      <w:r>
        <w:rPr>
          <w:b/>
        </w:rPr>
        <w:t>The bill's stated focus is coercion:</w:t>
      </w:r>
      <w:r>
        <w:t xml:space="preserve"> The draft sets out offences relating to conversion practices, with questions about how its scope would work in practice.</w:t>
      </w:r>
      <w:r/>
    </w:p>
    <w:p>
      <w:pPr>
        <w:pStyle w:val="ListBullet"/>
        <w:spacing w:line="240" w:lineRule="auto"/>
        <w:ind w:left="720"/>
      </w:pPr>
      <w:r/>
      <w:r>
        <w:rPr>
          <w:b/>
        </w:rPr>
        <w:t>Children's care guidance has also changed:</w:t>
      </w:r>
      <w:r>
        <w:t xml:space="preserve"> NHS England has issued updated advice about unregulated providers supplying hormone medication to young people.</w:t>
      </w:r>
      <w:r/>
      <w:r/>
    </w:p>
    <w:p>
      <w:pPr>
        <w:pStyle w:val="Heading2"/>
      </w:pPr>
      <w:r>
        <w:t>Why the conversion practices bill has raised alarm</w:t>
      </w:r>
      <w:r/>
    </w:p>
    <w:p>
      <w:r/>
      <w:r>
        <w:t>The most contentious question isn't simply whether harmful conversion practices should be prohibited. It's whether a law designed to prevent coercion could also make ordinary, careful conversations about gender identity feel legally risky. That concern has put the proposed bill in the spotlight.</w:t>
      </w:r>
      <w:r/>
    </w:p>
    <w:p>
      <w:r/>
      <w:r>
        <w:t xml:space="preserve">Dr David Bell, a former clinician at the Tavistock's gender identity service and a whistleblower, told the Daily Sceptic that the law could have been used to threaten people who spoke up about the clinic. His warning is an argument about the possible effects of the proposal, not a finding that the bill would necessarily silence critics. </w:t>
      </w:r>
      <w:hyperlink r:id="rId9">
        <w:r>
          <w:rPr>
            <w:color w:val="0000EE"/>
            <w:u w:val="single"/>
          </w:rPr>
          <w:t>[2]</w:t>
        </w:r>
      </w:hyperlink>
      <w:r>
        <w:t xml:space="preserve">, </w:t>
      </w:r>
      <w:hyperlink r:id="rId10">
        <w:r>
          <w:rPr>
            <w:color w:val="0000EE"/>
            <w:u w:val="single"/>
          </w:rPr>
          <w:t>[6]</w:t>
        </w:r>
      </w:hyperlink>
      <w:r/>
    </w:p>
    <w:p>
      <w:pPr>
        <w:pStyle w:val="Heading2"/>
      </w:pPr>
      <w:r>
        <w:t>What the draft law proposes</w:t>
      </w:r>
      <w:r/>
    </w:p>
    <w:p>
      <w:r/>
      <w:r>
        <w:t xml:space="preserve">The Government's draft Conversion Practices Bill is intended to address practices aimed at changing or suppressing a person's sexual orientation or gender identity. Its precise reach and protections are matters for the wording of the bill and the scrutiny process, rather than something that can be settled by campaign claims alone. </w:t>
      </w:r>
      <w:hyperlink r:id="rId11">
        <w:r>
          <w:rPr>
            <w:color w:val="0000EE"/>
            <w:u w:val="single"/>
          </w:rPr>
          <w:t>[3]</w:t>
        </w:r>
      </w:hyperlink>
      <w:r>
        <w:t xml:space="preserve">, </w:t>
      </w:r>
      <w:hyperlink r:id="rId12">
        <w:r>
          <w:rPr>
            <w:color w:val="0000EE"/>
            <w:u w:val="single"/>
          </w:rPr>
          <w:t>[4]</w:t>
        </w:r>
      </w:hyperlink>
      <w:r/>
    </w:p>
    <w:p>
      <w:r/>
      <w:r>
        <w:t xml:space="preserve">That distinction matters for parents, teachers and clinicians. A law against coercive practices needs to be clear about what it prohibits and how it treats supportive, exploratory discussions, particularly where a young person is distressed or uncertain. The draft text is the place to check what is proposed, rather than relying only on descriptions from its supporters or opponents. </w:t>
      </w:r>
      <w:hyperlink r:id="rId11">
        <w:r>
          <w:rPr>
            <w:color w:val="0000EE"/>
            <w:u w:val="single"/>
          </w:rPr>
          <w:t>[3]</w:t>
        </w:r>
      </w:hyperlink>
      <w:r>
        <w:t xml:space="preserve">, </w:t>
      </w:r>
      <w:hyperlink r:id="rId12">
        <w:r>
          <w:rPr>
            <w:color w:val="0000EE"/>
            <w:u w:val="single"/>
          </w:rPr>
          <w:t>[4]</w:t>
        </w:r>
      </w:hyperlink>
      <w:r/>
    </w:p>
    <w:p>
      <w:pPr>
        <w:pStyle w:val="Heading2"/>
      </w:pPr>
      <w:r>
        <w:t>Tavistock concerns sit within a wider care debate</w:t>
      </w:r>
      <w:r/>
    </w:p>
    <w:p>
      <w:r/>
      <w:r>
        <w:t xml:space="preserve">The Tavistock story has become a touchstone in a wider argument about safeguarding and gender-related care for children. Bell's concerns reflect his view that professionals need room to question and discuss a young person's needs; the Guardian's reporting on his whistleblowing helps explain the background to his role in the controversy. </w:t>
      </w:r>
      <w:hyperlink r:id="rId10">
        <w:r>
          <w:rPr>
            <w:color w:val="0000EE"/>
            <w:u w:val="single"/>
          </w:rPr>
          <w:t>[6]</w:t>
        </w:r>
      </w:hyperlink>
      <w:r/>
    </w:p>
    <w:p>
      <w:r/>
      <w:r>
        <w:t xml:space="preserve">Meanwhile, NHS England has issued updated guidance to primary care about unregulated providers supplying hormone medication to children and young people. That guidance is a separate development from the draft bill, but it underlines why families and clinicians are looking closely at oversight, information and routes to appropriate care. </w:t>
      </w:r>
      <w:hyperlink r:id="rId13">
        <w:r>
          <w:rPr>
            <w:color w:val="0000EE"/>
            <w:u w:val="single"/>
          </w:rPr>
          <w:t>[5]</w:t>
        </w:r>
      </w:hyperlink>
      <w:r/>
    </w:p>
    <w:p>
      <w:pPr>
        <w:pStyle w:val="Heading2"/>
      </w:pPr>
      <w:r>
        <w:t>What families and professionals should look for</w:t>
      </w:r>
      <w:r/>
    </w:p>
    <w:p>
      <w:r/>
      <w:r>
        <w:t xml:space="preserve">For anyone trying to understand the proposal, start with the published draft and its accompanying government material. Look for the definitions, any stated exemptions or safeguards, and how the bill distinguishes coercive conduct from conversations intended to support someone. Those details are more useful than a headline that suggests the law has already settled every difficult case. </w:t>
      </w:r>
      <w:hyperlink r:id="rId11">
        <w:r>
          <w:rPr>
            <w:color w:val="0000EE"/>
            <w:u w:val="single"/>
          </w:rPr>
          <w:t>[3]</w:t>
        </w:r>
      </w:hyperlink>
      <w:r>
        <w:t xml:space="preserve">, </w:t>
      </w:r>
      <w:hyperlink r:id="rId12">
        <w:r>
          <w:rPr>
            <w:color w:val="0000EE"/>
            <w:u w:val="single"/>
          </w:rPr>
          <w:t>[4]</w:t>
        </w:r>
      </w:hyperlink>
      <w:r/>
    </w:p>
    <w:p>
      <w:r/>
      <w:r>
        <w:t xml:space="preserve">The process is still being examined. The House of Lords has announced public evidence sessions for its joint committee on the draft bill, giving parliamentarians a chance to hear from witnesses and test how the proposed provisions might work. Readers can follow that scrutiny alongside the bill text as the debate develops. </w:t>
      </w:r>
      <w:hyperlink r:id="rId14">
        <w:r>
          <w:rPr>
            <w:color w:val="0000EE"/>
            <w:u w:val="single"/>
          </w:rPr>
          <w:t>[7]</w:t>
        </w:r>
      </w:hyperlink>
      <w:r/>
    </w:p>
    <w:p>
      <w:pPr>
        <w:pStyle w:val="Heading2"/>
      </w:pPr>
      <w:r>
        <w:t>A debate that needs clarity, not slogans</w:t>
      </w:r>
      <w:r/>
    </w:p>
    <w:p>
      <w:r/>
      <w:r>
        <w:t xml:space="preserve">Bell argues the measure could create fear among professionals and families. That concern deserves serious examination, while the bill's purpose of addressing harmful conversion practices also needs to be considered on its own terms. The practical question is how legislation can protect people from coercion without making thoughtful, compassionate support harder to offer.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p>
    <w:p>
      <w:r/>
      <w:r>
        <w:t xml:space="preserve">For families, the distinction between support and pressure can feel deeply personal. Clear definitions and careful parliamentary scrutiny won't remove every disagreement, but they can help make the law's boundaries easier to understand. </w:t>
      </w:r>
      <w:hyperlink r:id="rId11">
        <w:r>
          <w:rPr>
            <w:color w:val="0000EE"/>
            <w:u w:val="single"/>
          </w:rPr>
          <w:t>[3]</w:t>
        </w:r>
      </w:hyperlink>
      <w:r>
        <w:t xml:space="preserve">, </w:t>
      </w:r>
      <w:hyperlink r:id="rId14">
        <w:r>
          <w:rPr>
            <w:color w:val="0000EE"/>
            <w:u w:val="single"/>
          </w:rPr>
          <w:t>[7]</w:t>
        </w:r>
      </w:hyperlink>
      <w:r/>
    </w:p>
    <w:p>
      <w:r/>
      <w:r>
        <w:t>Read the draft and follow the committee's scrutiny before drawing conclusions about what the bill would mean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[6]</w:t>
        </w:r>
      </w:hyperlink>
      <w:r>
        <w:t xml:space="preserve">- Paragraph 5: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https://dailysceptic.org/2026/11/07/tavistock-scandal-would-have-been-suppressed-by-new-trans-law-says-whistleblower/</w:t>
        </w:r>
      </w:hyperlink>
      <w:r>
        <w:t xml:space="preserve"> - Please view link - unable to able to access data</w:t>
      </w:r>
      <w:r/>
    </w:p>
    <w:p>
      <w:pPr>
        <w:pStyle w:val="ListNumber"/>
        <w:spacing w:line="240" w:lineRule="auto"/>
        <w:ind w:left="720"/>
      </w:pPr>
      <w:r/>
      <w:hyperlink r:id="rId9">
        <w:r>
          <w:rPr>
            <w:color w:val="0000EE"/>
            <w:u w:val="single"/>
          </w:rPr>
          <w:t>https://dailysceptic.org/2026/11/07/tavistock-scandal-would-have-been-suppressed-by-new-trans-law-says-whistleblower/</w:t>
        </w:r>
      </w:hyperlink>
      <w:r>
        <w:t xml:space="preserve"> - The article reports Dr David Bell’s warning that the Government’s proposed Conversion Practices Bill could have been used to intimidate or silence people who raised concerns about the Tavistock children’s gender identity clinic. Bell, a whistleblower whose concerns contributed to public scrutiny of the service, says the proposed law could discourage professionals from questioning an approach to care that included puberty blockers for children. He argues that the bill conflicts with newer guidance intended to improve care for young people questioning their gender identity, and could create fear among families and clinicians. The article presents his view that campaigners are seeking legislation partly to restore influence over a debate in which, he says, unconditional affirmation has lost support. It says the bill could bring prison sentences of up to five years for certain abusive conversion practices, and reports critics’ concern that the wording might deter doctors, teachers and parents from discussing a child’s wishes about gender. Bell describes the measure as potentially harmful and says professionals may fear being accused of attempting conversion if they do not affirm a young person’s stated identity. The piece also refers to a Telegraph campaign opposing the bill and claims Stonewall assisted Labour in developing it. These are reported arguments and claims; the article does not establish that the bill would necessarily suppress whistleblowing or criminalise ordinary family or clinical conversations.</w:t>
      </w:r>
      <w:r/>
    </w:p>
    <w:p>
      <w:pPr>
        <w:pStyle w:val="ListNumber"/>
        <w:spacing w:line="240" w:lineRule="auto"/>
        <w:ind w:left="720"/>
      </w:pPr>
      <w:r/>
      <w:hyperlink r:id="rId11">
        <w:r>
          <w:rPr>
            <w:color w:val="0000EE"/>
            <w:u w:val="single"/>
          </w:rPr>
          <w:t>https://www.gov.uk/government/publications/draft-conversion-practices-bill</w:t>
        </w:r>
      </w:hyperlink>
      <w:r>
        <w:t xml:space="preserve"> - This Government publication introduces the draft Conversion Practices Bill, published on 25 June 2026, and provides its associated policy documents. It explains that the draft contains three proposed offences intended to address criminal conversion practices and applies to England and Wales. The publication also links to the bill text, explanatory notes and impact assessments, allowing readers to examine both the proposed legal provisions and the Government’s account of their purpose and expected effects. The proposal concerns practices aimed at changing or suppressing a person’s sexual orientation or transgender identity, but the publication frames the offences around abusive conduct rather than every discussion of identity. The accompanying materials are important for assessing claims in the article, since they set out the bill’s scope, potential safeguards, proposed penalties and the Government’s stated rationale. The draft is not itself an enacted statute: it is a proposal made available for scrutiny. The publication page records later updates and provides the official source documents, so readers can check the text rather than rely solely on media descriptions or campaign commentary. It does not endorse Dr David Bell’s prediction that the measure could have silenced Tavistock whistleblowers, nor does it resolve disagreements about the possible effects on clinicians, parents or teachers. Instead, it offers the primary legislative material against which those claims can be evaluated. Its clear distinction between publication of a draft and enactment is relevant to understanding the status of the proposed law.</w:t>
      </w:r>
      <w:r/>
    </w:p>
    <w:p>
      <w:pPr>
        <w:pStyle w:val="ListNumber"/>
        <w:spacing w:line="240" w:lineRule="auto"/>
        <w:ind w:left="720"/>
      </w:pPr>
      <w:r/>
      <w:hyperlink r:id="rId12">
        <w:r>
          <w:rPr>
            <w:color w:val="0000EE"/>
            <w:u w:val="single"/>
          </w:rPr>
          <w:t>https://www.gov.uk/government/publications/draft-conversion-practices-bill/conversion-practices-draft-bill</w:t>
        </w:r>
      </w:hyperlink>
      <w:r>
        <w:t xml:space="preserve"> - The draft bill sets out the proposed legal definitions, offences and protective orders for conversion practices in England and Wales. It defines a conversion practice by reference to conduct intended to cause someone to have, or believe they have, a particular sexual orientation or transgender identity. For healthcare, the text provides that conduct is not a conversion practice unless the person acts far below the standards reasonably expected of someone in their position. The draft offence of carrying out an abusive conversion practice requires the practice to cause serious physical or mental harm, or serious alarm or distress with a substantial effect on everyday activities. A conviction on indictment could carry imprisonment of up to five years, a fine or both. The draft also proposes an offence involving assistance or encouragement of an abusive practice carried out abroad, and allows courts to make conversion practice protection orders. The text specifies that abuse is assessed in the circumstances, including whether conduct involves threatening, coercive, economic, psychological or emotional pressure. These provisions are directly relevant to debates about the bill’s reach: the draft includes a healthcare qualification and harm thresholds, while its interpretation and application remain subjects of public and parliamentary scrutiny. The bill text itself cannot establish how a court would ultimately apply those provisions in a particular case. It is a proposal, not proof that ordinary conversations would be criminalised or that a whistleblower would have been silenced.</w:t>
      </w:r>
      <w:r/>
    </w:p>
    <w:p>
      <w:pPr>
        <w:pStyle w:val="ListNumber"/>
        <w:spacing w:line="240" w:lineRule="auto"/>
        <w:ind w:left="720"/>
      </w:pPr>
      <w:r/>
      <w:hyperlink r:id="rId13">
        <w:r>
          <w:rPr>
            <w:color w:val="0000EE"/>
            <w:u w:val="single"/>
          </w:rPr>
          <w:t>https://www.england.nhs.uk/long-read/updated-guidance-to-primary-care-about-unregulated-providers-who-supply-hormone-medications-to-children-and-young-people-for-gender-incongruence/</w:t>
        </w:r>
      </w:hyperlink>
      <w:r>
        <w:t xml:space="preserve"> - This NHS England guidance discusses the care of children and young people with gender incongruence and the clinical arrangements following the independent Cass Review. It explains that the former Gender Identity Development Service at Tavistock and Portman was brought to a managed close in March 2024, with new NHS children’s gender services operating from April 2024 under a revised model. The guidance says the new model does not routinely prescribe gonadotrophin-releasing hormone analogues, commonly called puberty blockers, for gender incongruence. It describes the Cass Review’s recommendations for a service with greater emphasis on psychosocial and psychological support, multidisciplinary assessment and research into treatment outcomes. The page also discusses risks associated with unregulated providers supplying hormone medication to young people and the responsibilities of primary care practitioners when patients seek or receive such medicines. It reports that the proposed puberty-blocker research trial was paused in February 2026 while the medicines regulator addressed concerns. The document is relevant to the article’s references to changing care guidance and the former Tavistock service. It provides official NHS context for the clinical policy changes, but it does not verify every historical detail in the article, such as the ages of individual patients or the precise circumstances in which medications were prescribed. Nor does it assess the proposed Conversion Practices Bill’s potential impact on whistleblowing or professional discussion. Its focus is clinical guidance, service provision and prescribing safeguards rather than political claims about the draft legislation.</w:t>
      </w:r>
      <w:r/>
    </w:p>
    <w:p>
      <w:pPr>
        <w:pStyle w:val="ListNumber"/>
        <w:spacing w:line="240" w:lineRule="auto"/>
        <w:ind w:left="720"/>
      </w:pPr>
      <w:r/>
      <w:hyperlink r:id="rId10">
        <w:r>
          <w:rPr>
            <w:color w:val="0000EE"/>
            <w:u w:val="single"/>
          </w:rPr>
          <w:t>https://www.theguardian.com/society/2021/may/02/tavistock-trust-whistleblower-david-bell-transgender-children-gids</w:t>
        </w:r>
      </w:hyperlink>
      <w:r>
        <w:t xml:space="preserve"> - This Guardian profile recounts psychiatrist David Bell’s role as a whistleblower at the Tavistock and Portman NHS Foundation Trust, where he worked for more than 25 years and held senior clinical and staff-governance positions. The article describes how colleagues brought him concerns about the Gender Identity Development Service and how he prepared an internal report after hearing accounts from staff. It documents the institutional conflict that followed, including restrictions on his public comments and disputes over how the trust handled his report. Bell tells the Guardian that he regarded speaking up as the right thing to do and describes feeling that the trust had failed in its duty towards whistleblowers. The piece places his actions within a wider account of the service’s clinical practice, staff concerns and the difficulties of raising questions in a highly contested area of healthcare. It is useful background for understanding why Bell’s later warning about legislation and professional speech carries particular significance: he had previously challenged the service from within and faced consequences at work. The profile, however, predates the proposed 2026 Conversion Practices Bill and cannot establish whether that legislation could legally have been applied to his actions. It also does not independently verify the claims made in the later Daily Sceptic report. Instead, it provides reporting on Bell’s history, his account of the whistleblowing process and the institutional response he described.</w:t>
      </w:r>
      <w:r/>
    </w:p>
    <w:p>
      <w:pPr>
        <w:pStyle w:val="ListNumber"/>
        <w:spacing w:line="240" w:lineRule="auto"/>
        <w:ind w:left="720"/>
      </w:pPr>
      <w:r/>
      <w:hyperlink r:id="rId14">
        <w:r>
          <w:rPr>
            <w:color w:val="0000EE"/>
            <w:u w:val="single"/>
          </w:rPr>
          <w:t>https://www.parliament.uk/business/lords/media-centre/house-of-lords-media-notices/2026/october-2026/joint-committee-on-the-draft-conversion-practices-bill-open-public-evidence-sessions/</w:t>
        </w:r>
      </w:hyperlink>
      <w:r>
        <w:t xml:space="preserve"> - This Parliament notice describes public evidence sessions held by the Joint Committee examining the Government’s draft Conversion Practices Bill. It states that the committee was appointed to consider and report on the proposal, which aims to prevent and criminalise abusive and harmful conversion practices. The notice lists scheduled witnesses from organisations with differing perspectives, including Stonewall, Galop and the Ban Conversion Practices Coalition. It therefore provides official confirmation that Stonewall participated in parliamentary evidence sessions about the draft legislation. It does not, by itself, establish the separate claim that Stonewall helped Labour draft the bill; participation in scrutiny is not the same as authorship or policy development. The notice is useful for understanding the formal parliamentary process and the range of voices invited to give evidence. It also helps distinguish claims made by campaigners or newspapers from the committee’s official role: the committee is considering the draft and has not, in this notice, reached findings on whether the proposal could chill clinical discussion, affect parents or deter whistleblowers. Readers can use the listed dates and witness information to locate related evidence and track scrutiny of the bill. As an official parliamentary page, it records procedural details rather than taking a position on the arguments for or against the proposed law. It supplies context for the article’s discussion of Stonewall and the bill, while leaving contested claims about influence and legal consequences open for further verification.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sceptic.org/2026/11/07/tavistock-scandal-would-have-been-suppressed-by-new-trans-law-says-whistleblower/" TargetMode="External"/><Relationship Id="rId10" Type="http://schemas.openxmlformats.org/officeDocument/2006/relationships/hyperlink" Target="https://www.theguardian.com/society/2021/may/02/tavistock-trust-whistleblower-david-bell-transgender-children-gids" TargetMode="External"/><Relationship Id="rId11" Type="http://schemas.openxmlformats.org/officeDocument/2006/relationships/hyperlink" Target="https://www.gov.uk/government/publications/draft-conversion-practices-bill" TargetMode="External"/><Relationship Id="rId12" Type="http://schemas.openxmlformats.org/officeDocument/2006/relationships/hyperlink" Target="https://www.gov.uk/government/publications/draft-conversion-practices-bill/conversion-practices-draft-bill" TargetMode="External"/><Relationship Id="rId13" Type="http://schemas.openxmlformats.org/officeDocument/2006/relationships/hyperlink" Target="https://www.england.nhs.uk/long-read/updated-guidance-to-primary-care-about-unregulated-providers-who-supply-hormone-medications-to-children-and-young-people-for-gender-incongruence/" TargetMode="External"/><Relationship Id="rId14" Type="http://schemas.openxmlformats.org/officeDocument/2006/relationships/hyperlink" Target="https://www.parliament.uk/business/lords/media-centre/house-of-lords-media-notices/2026/october-2026/joint-committee-on-the-draft-conversion-practices-bill-open-public-evidence-sess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