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Grassroots Democracy Still Matters for LGBTQ+ Rights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Communities are showing what democracy looks like by turning up, speaking out and standing beside one another. From local meetings to street protests, grassroots action matters as LGBTQ+ rights face pressure in the United States and around the world. It can’t fix everything overnight, but it can make people feel less alone and remind those in power that citizens are watching.</w:t>
      </w:r>
      <w:r/>
    </w:p>
    <w:p>
      <w:pPr>
        <w:pStyle w:val="Heading2"/>
      </w:pPr>
      <w:r>
        <w:t>Democracy is more than an election-day ritual</w:t>
      </w:r>
      <w:r/>
    </w:p>
    <w:p>
      <w:r/>
      <w:r>
        <w:t>Democracy can look less like a grand speech and more like a handwritten sign held above a crowd. Across the United States, people have been gathering at school board meetings, town halls and protests to challenge decisions they believe threaten their neighbours’ rights and safety. The message is simple, but it takes persistence to keep saying it. (AP News; The Washington Post)</w:t>
      </w:r>
      <w:r/>
    </w:p>
    <w:p>
      <w:r/>
      <w:r>
        <w:t>That kind of participation matters between elections, too. Local meetings give residents a chance to question officials and make their concerns visible, while peaceful demonstrations can bring attention to issues that might otherwise be ignored. It’s not glamorous work, but democracy has always depended on people being willing to show up. (AP News)</w:t>
      </w:r>
      <w:r/>
    </w:p>
    <w:p>
      <w:pPr>
        <w:pStyle w:val="Heading2"/>
      </w:pPr>
      <w:r>
        <w:t>LGBTQ+ rights remain under pressure</w:t>
      </w:r>
      <w:r/>
    </w:p>
    <w:p>
      <w:r/>
      <w:r>
        <w:t>The scale of the challenge is stark. The American Civil Liberties Union’s 2026 tracker records hundreds of anti-LGBTQ+ bills introduced across the United States, with many measures targeting transgender people. The proposals vary, but together they show why communities continue to organise and keep a close eye on state politics. (ACLU)</w:t>
      </w:r>
      <w:r/>
    </w:p>
    <w:p>
      <w:r/>
      <w:r>
        <w:t>Beyond the US, laws criminalising consensual same-sex activity remain in force in multiple countries, according to the International Lesbian, Gay, Bisexual, Trans and Intersex Association’s global database. That legal picture is a sobering reminder that safety and equality can’t be taken for granted, even as public debate changes. (ILGA World)</w:t>
      </w:r>
      <w:r/>
    </w:p>
    <w:p>
      <w:pPr>
        <w:pStyle w:val="Heading2"/>
      </w:pPr>
      <w:r>
        <w:t>Authoritarian politics can leave a long shadow</w:t>
      </w:r>
      <w:r/>
    </w:p>
    <w:p>
      <w:r/>
      <w:r>
        <w:t>Political change rarely erases prejudice at a stroke. Human Rights Watch’s reporting on Germany documents continuing concerns about far-right activity, illustrating how difficult it can be for societies to confront the legacy of extremism and prevent its return. Progress is real, but it’s not a tidy, one-way journey. (Human Rights Watch)</w:t>
      </w:r>
      <w:r/>
    </w:p>
    <w:p>
      <w:r/>
      <w:r>
        <w:t>Serbia offers another example of the pressures facing democratic institutions. Freedom House’s 2026 country assessment describes concerns around political rights and civil liberties, while large-scale protests in different countries have shown how citizens can still mobilise when they believe democratic standards are at risk. (Freedom House; AP News)</w:t>
      </w:r>
      <w:r/>
    </w:p>
    <w:p>
      <w:pPr>
        <w:pStyle w:val="Heading2"/>
      </w:pPr>
      <w:r>
        <w:t>Small acts of participation add up</w:t>
      </w:r>
      <w:r/>
    </w:p>
    <w:p>
      <w:r/>
      <w:r>
        <w:t>If you’re wondering where to start, keep it practical. Find out when your local council or school board meets, check which proposals are on the agenda, and go with a neighbour if that makes speaking up feel easier. You can also follow reliable local reporting and support community groups already doing the steady work. (AP News; The Washington Post)</w:t>
      </w:r>
      <w:r/>
    </w:p>
    <w:p>
      <w:r/>
      <w:r>
        <w:t>And remember that visibility can be quiet as well as loud. Listening to people directly affected, sharing trustworthy information and checking in on neighbours all help build the connections that make communities more resilient. No single action carries the whole burden, but a lot of small acts can shift what feels possible. (ACLU; AP News)</w:t>
      </w:r>
      <w:r/>
    </w:p>
    <w:p>
      <w:pPr>
        <w:pStyle w:val="Heading2"/>
      </w:pPr>
      <w:r>
        <w:t>The work continues after the crowds go home</w:t>
      </w:r>
      <w:r/>
    </w:p>
    <w:p>
      <w:r/>
      <w:r>
        <w:t>Protests and public meetings can offer a powerful sense of solidarity, but the deeper test is what happens afterwards: whether people keep organising, stay informed and return when the next decision comes around. That patient follow-through can feel less exhilarating than a packed march, yet it’s often where lasting change takes root. (The Washington Post; Freedom House)</w:t>
      </w:r>
      <w:r/>
    </w:p>
    <w:p>
      <w:r/>
      <w:r>
        <w:t>There’s comfort, too, in seeing other people refuse to look away. Democracy isn’t only a promise made by politicians; it’s a practice shaped by the people who keep asking for accountability and defending one another’s rights. (AP News; ACLU)</w:t>
      </w:r>
      <w:r/>
    </w:p>
    <w:p>
      <w:r/>
      <w:r>
        <w:t>Keep showing up in the ways you can; even a small voice can help make a community stronger.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[7]</w:t>
        </w:r>
      </w:hyperlink>
      <w:r>
        <w:t xml:space="preserve">, </w:t>
      </w:r>
      <w:hyperlink r:id="rId11">
        <w:r>
          <w:rPr>
            <w:color w:val="0000EE"/>
            <w:u w:val="single"/>
          </w:rPr>
          <w:t>[8]</w:t>
        </w:r>
      </w:hyperlink>
      <w:r>
        <w:t xml:space="preserve">- Paragraph 2: </w:t>
      </w:r>
      <w:hyperlink r:id="rId10">
        <w:r>
          <w:rPr>
            <w:color w:val="0000EE"/>
            <w:u w:val="single"/>
          </w:rPr>
          <w:t>[7]</w:t>
        </w:r>
      </w:hyperlink>
      <w:r>
        <w:t xml:space="preserve">- Paragraph 3: </w:t>
      </w:r>
      <w:hyperlink r:id="rId12">
        <w:r>
          <w:rPr>
            <w:color w:val="0000EE"/>
            <w:u w:val="single"/>
          </w:rPr>
          <w:t>[3]</w:t>
        </w:r>
      </w:hyperlink>
      <w:r>
        <w:t xml:space="preserve">- Paragraph 4: </w:t>
      </w:r>
      <w:hyperlink r:id="rId13">
        <w:r>
          <w:rPr>
            <w:color w:val="0000EE"/>
            <w:u w:val="single"/>
          </w:rPr>
          <w:t>[4]</w:t>
        </w:r>
      </w:hyperlink>
      <w:r>
        <w:t xml:space="preserve">- Paragraph 5: </w:t>
      </w:r>
      <w:hyperlink r:id="rId14">
        <w:r>
          <w:rPr>
            <w:color w:val="0000EE"/>
            <w:u w:val="single"/>
          </w:rPr>
          <w:t>[5]</w:t>
        </w:r>
      </w:hyperlink>
      <w:r>
        <w:t xml:space="preserve">- Paragraph 6: </w:t>
      </w:r>
      <w:hyperlink r:id="rId15">
        <w:r>
          <w:rPr>
            <w:color w:val="0000EE"/>
            <w:u w:val="single"/>
          </w:rPr>
          <w:t>[6]</w:t>
        </w:r>
      </w:hyperlink>
      <w:r>
        <w:t xml:space="preserve">, </w:t>
      </w:r>
      <w:hyperlink r:id="rId10">
        <w:r>
          <w:rPr>
            <w:color w:val="0000EE"/>
            <w:u w:val="single"/>
          </w:rPr>
          <w:t>[7]</w:t>
        </w:r>
      </w:hyperlink>
      <w:r>
        <w:t xml:space="preserve">- Paragraph 7: </w:t>
      </w:r>
      <w:hyperlink r:id="rId10">
        <w:r>
          <w:rPr>
            <w:color w:val="0000EE"/>
            <w:u w:val="single"/>
          </w:rPr>
          <w:t>[7]</w:t>
        </w:r>
      </w:hyperlink>
      <w:r>
        <w:t xml:space="preserve">, </w:t>
      </w:r>
      <w:hyperlink r:id="rId11">
        <w:r>
          <w:rPr>
            <w:color w:val="0000EE"/>
            <w:u w:val="single"/>
          </w:rPr>
          <w:t>[8]</w:t>
        </w:r>
      </w:hyperlink>
      <w:r>
        <w:t xml:space="preserve">- Paragraph 8: </w:t>
      </w:r>
      <w:hyperlink r:id="rId12">
        <w:r>
          <w:rPr>
            <w:color w:val="0000EE"/>
            <w:u w:val="single"/>
          </w:rPr>
          <w:t>[3]</w:t>
        </w:r>
      </w:hyperlink>
      <w:r>
        <w:t xml:space="preserve">, </w:t>
      </w:r>
      <w:hyperlink r:id="rId10">
        <w:r>
          <w:rPr>
            <w:color w:val="0000EE"/>
            <w:u w:val="single"/>
          </w:rPr>
          <w:t>[7]</w:t>
        </w:r>
      </w:hyperlink>
      <w:r>
        <w:t xml:space="preserve">- Paragraph 9: </w:t>
      </w:r>
      <w:hyperlink r:id="rId11">
        <w:r>
          <w:rPr>
            <w:color w:val="0000EE"/>
            <w:u w:val="single"/>
          </w:rPr>
          <w:t>[8]</w:t>
        </w:r>
      </w:hyperlink>
      <w:r>
        <w:t xml:space="preserve">, </w:t>
      </w:r>
      <w:hyperlink r:id="rId15">
        <w:r>
          <w:rPr>
            <w:color w:val="0000EE"/>
            <w:u w:val="single"/>
          </w:rPr>
          <w:t>[6]</w:t>
        </w:r>
      </w:hyperlink>
      <w:r>
        <w:t xml:space="preserve">- Paragraph 10: </w:t>
      </w:r>
      <w:hyperlink r:id="rId10">
        <w:r>
          <w:rPr>
            <w:color w:val="0000EE"/>
            <w:u w:val="single"/>
          </w:rPr>
          <w:t>[7]</w:t>
        </w:r>
      </w:hyperlink>
      <w:r>
        <w:t xml:space="preserve">, </w:t>
      </w:r>
      <w:hyperlink r:id="rId12">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https://sfbaytimes.com/show-me-what-democracy-looks-like/?utm_source=rss&amp;utm_medium=rss&amp;utm_campaign=show-me-what-democracy-looks-like</w:t>
        </w:r>
      </w:hyperlink>
      <w:r>
        <w:t xml:space="preserve"> - Please view link - unable to able to access data</w:t>
      </w:r>
      <w:r/>
    </w:p>
    <w:p>
      <w:pPr>
        <w:pStyle w:val="ListNumber"/>
        <w:spacing w:line="240" w:lineRule="auto"/>
        <w:ind w:left="720"/>
      </w:pPr>
      <w:r/>
      <w:hyperlink r:id="rId16">
        <w:r>
          <w:rPr>
            <w:color w:val="0000EE"/>
            <w:u w:val="single"/>
          </w:rPr>
          <w:t>https://sfbaytimes.com/show-me-what-democracy-looks-like/</w:t>
        </w:r>
      </w:hyperlink>
      <w:r>
        <w:t xml:space="preserve"> - Joanie Juster reflects on a politically turbulent October, describing her anxiety amid the midterm elections and the San Francisco Valkyries. She argues that politicians’ pursuit of power has become increasingly brazen, with racism, transphobia, homophobia and misogyny more openly expressed. The article cautions that cultural change cannot be achieved through one election or change of government alone, pointing to Germany’s continuing struggle with far-right extremism decades after the Third Reich. It broadens the concern internationally, noting that LGBTQ+ people face criminal penalties in many countries and that anti-LGBTQ+ legislation in the United States disproportionately targets transgender people. The essay then turns from harm to civic resistance. Juster highlights people organising in Hungary, Serbia and Brazil, as well as residents participating in school-board meetings, town halls and street demonstrations, opposing immigration enforcement and supporting neighbours. She presents these actions as evidence that ordinary people can challenge hatred, division and political dishonesty. Drawing on years of marches, protests, sign-making and demands for elected officials to answer to the public, she concludes that collective participation is democracy in practice. The piece is an opinion column, not a report: its political assessments and broad descriptions of global events express the author’s perspective. A photograph caption recalls a demonstration at Wisconsin’s Capitol against the state’s Budget Repair Bill. Juster identifies herself as a long-time community volunteer, activist and ally.</w:t>
      </w:r>
      <w:r/>
    </w:p>
    <w:p>
      <w:pPr>
        <w:pStyle w:val="ListNumber"/>
        <w:spacing w:line="240" w:lineRule="auto"/>
        <w:ind w:left="720"/>
      </w:pPr>
      <w:r/>
      <w:hyperlink r:id="rId12">
        <w:r>
          <w:rPr>
            <w:color w:val="0000EE"/>
            <w:u w:val="single"/>
          </w:rPr>
          <w:t>https://www.aclu.org/legislative-attacks-on-lgbtq-rights-2026</w:t>
        </w:r>
      </w:hyperlink>
      <w:r>
        <w:t xml:space="preserve"> - The American Civil Liberties Union’s 2026 legislative tracker documents state-level proposals affecting LGBTQ+ rights across the United States. Its interactive format allows visitors to explore legislation by state and issue area, including measures affecting healthcare, education, public expression and civil rights protections. The tracker provides context for the article’s claim that anti-LGBTQ+ bills are being introduced broadly, while making clear that proposed bills are not the same as enacted laws. Legislative status can change during a session, so the tracker should be treated as a live resource rather than a fixed count. The ACLU characterises the proposals as attacks on LGBTQ+ people and uses the tracker to explain what different bills would do, where they have been introduced and how they are progressing. Several measures focus specifically on transgender people, including restrictions related to healthcare, schools and public facilities. The site is an advocacy organisation’s resource, and its framing reflects the ACLU’s civil-rights mission; the underlying bill information is useful for checking the scope and status of proposals. It supports the article’s account of a widespread legislative campaign and its emphasis on transgender people, but does not independently verify every number or description in the article. The tracker’s total may differ from the article’s reported figure because counts and statuses change as legislatures introduce, amend, advance or reject bills.</w:t>
      </w:r>
      <w:r/>
    </w:p>
    <w:p>
      <w:pPr>
        <w:pStyle w:val="ListNumber"/>
        <w:spacing w:line="240" w:lineRule="auto"/>
        <w:ind w:left="720"/>
      </w:pPr>
      <w:r/>
      <w:hyperlink r:id="rId13">
        <w:r>
          <w:rPr>
            <w:color w:val="0000EE"/>
            <w:u w:val="single"/>
          </w:rPr>
          <w:t>https://database.ilga.org/criminalisation-consensual-same-sex-sexual-acts</w:t>
        </w:r>
      </w:hyperlink>
      <w:r>
        <w:t xml:space="preserve"> - ILGA World’s database surveys laws that criminalise consensual same-sex sexual acts between adults in private. It presents information by jurisdiction, distinguishing criminalisation under law from de facto criminalisation and from places where such conduct is not criminalised. Penalties vary, including imprisonment and, in some jurisdictions, the death penalty; the database identifies where the death penalty is prescribed or potentially applicable. Its country-by-country approach is relevant to the article’s warning that LGBTQ+ people face serious legal dangers around the world. The database also stresses an important limitation: legal status alone cannot establish whether LGBTQ+ people are safe. Even where same-sex intimacy is lawful, people may continue to face stigma, violence or other discrimination. ILGA describes its material as a legal overview rather than a full account of lived experience, enforcement or social conditions. Its regularly updated entries and dated update information help readers check whether a particular legal claim remains current. The resource supports the article’s general point that laws imposing fines, imprisonment and, in certain places, capital punishment exist, but readers should consult the specific jurisdictional entries for precise penalties. It does not establish that every country criminalises homosexual activity, nor that the same laws are applied uniformly. Instead, it offers a structured global reference for understanding the range of legal frameworks and the difference between formal law and practical enforcement.</w:t>
      </w:r>
      <w:r/>
    </w:p>
    <w:p>
      <w:pPr>
        <w:pStyle w:val="ListNumber"/>
        <w:spacing w:line="240" w:lineRule="auto"/>
        <w:ind w:left="720"/>
      </w:pPr>
      <w:r/>
      <w:hyperlink r:id="rId14">
        <w:r>
          <w:rPr>
            <w:color w:val="0000EE"/>
            <w:u w:val="single"/>
          </w:rPr>
          <w:t>https://www.hrw.org/world-report/2025/country-chapters/germany</w:t>
        </w:r>
      </w:hyperlink>
      <w:r>
        <w:t xml:space="preserve"> - Human Rights Watch’s Germany chapter in its 2025 World Report reviews developments during 2024, including the political influence of the far-right Alternative for Germany party. The party made significant gains in elections in two eastern German states, while the report notes an increase in attacks against marginalised groups, including LGBT people, and in racist, right-wing and antisemitic violence. The chapter places these developments alongside wider concerns about rights, public institutions and government policy. It offers a country-specific human-rights perspective that helps contextualise the article’s observation that far-right movements remain present in Germany despite the country’s long reckoning with the Nazi era. The report does not claim that Germany has returned to the conditions of the Third Reich; rather, it documents contemporary political and social concerns, including the increased strength of a far-right party and reported violence. Human Rights Watch also discusses other topics, such as migration policy, discrimination and the rule of law. Its country chapter is an annual overview, so its evidence is anchored to the period covered and should not be mistaken for a live account of events after publication. As an independent rights organisation’s assessment, it provides analysis and reporting rather than a comprehensive statistical census of all extremist activity. It supports the article’s narrower point about continuing far-right pressure and attacks on minorities in modern Germany.</w:t>
      </w:r>
      <w:r/>
    </w:p>
    <w:p>
      <w:pPr>
        <w:pStyle w:val="ListNumber"/>
        <w:spacing w:line="240" w:lineRule="auto"/>
        <w:ind w:left="720"/>
      </w:pPr>
      <w:r/>
      <w:hyperlink r:id="rId15">
        <w:r>
          <w:rPr>
            <w:color w:val="0000EE"/>
            <w:u w:val="single"/>
          </w:rPr>
          <w:t>https://freedomhouse.org/country/serbia/freedom-world/2026</w:t>
        </w:r>
      </w:hyperlink>
      <w:r>
        <w:t xml:space="preserve"> - Freedom House’s 2026 Serbia report assesses political rights and civil liberties, describing a mass anti-government protest movement that began in November 2024 and included frequent demonstrations. It reports that protesters faced excessive force from police, private security agencies and masked individuals believed by some to be linked to the government. The report also discusses pressure on democracy watchdog organisations and concerns about freedom of assembly. Its account provides evidence for the article’s reference to people mobilising in Serbia to defend democracy, while adding important context: protest participation takes place amid political conflict and risks to civil liberties. Freedom House evaluates countries using a comparative framework, and its conclusions are an assessment by the organisation rather than a neutral government statistic. The report covers a range of issues beyond protests, including electoral conditions, corruption, media freedom and treatment of minority groups. It notes that LGBT+ people continue to face hate speech, threats and physical violence, with perpetrators rarely punished despite existing protections. This offers additional context for the article’s discussion of vulnerable communities and democratic activism. The resource does not support every claim about the scale of protests or the motives of every participant; those details require separate reporting. It does, however, document sustained mobilisation and the challenging environment in which Serbian citizens have exercised their rights to protest and demand accountability.</w:t>
      </w:r>
      <w:r/>
    </w:p>
    <w:p>
      <w:pPr>
        <w:pStyle w:val="ListNumber"/>
        <w:spacing w:line="240" w:lineRule="auto"/>
        <w:ind w:left="720"/>
      </w:pPr>
      <w:r/>
      <w:hyperlink r:id="rId10">
        <w:r>
          <w:rPr>
            <w:color w:val="0000EE"/>
            <w:u w:val="single"/>
          </w:rPr>
          <w:t>https://apnews.com/article/532e02f74b14107dbbe57b6d595131ce</w:t>
        </w:r>
      </w:hyperlink>
      <w:r>
        <w:t xml:space="preserve"> - This Associated Press report describes student-led protest movements in Serbia and Hungary and the political challenges facing them. In Serbia, demonstrations grew after a deadly train-station canopy collapse in Novi Sad in 2024, which protesters connected to demands for accountability and opposition to corruption. The article explains how student organisers built a broad movement against the government of Aleksandar Vučić and discusses the difficulty of converting street mobilisation into lasting institutional change. It also considers Hungary, where a new political force emerged amid public discontent and challenges to the established government. The report is useful context for the San Francisco Bay Times column’s reference to people rising up in both countries in support of democracy. It offers a journalistic account of movements that developed over time rather than a simple claim that one protest immediately resolved democratic problems. Its emphasis is on young activists, political organisation and the consequences of challenging entrenched power. The report also makes clear that winning public support or an election does not automatically repair institutions or eliminate corruption. Because the events are fast-moving, the article reflects the situation at its publication and should be read with attention to dates. It supplies evidence of substantial civic mobilisation, while distinguishing protest activity from the longer work of restoring the rule of law and democratic accountability.</w:t>
      </w:r>
      <w:r/>
    </w:p>
    <w:p>
      <w:pPr>
        <w:pStyle w:val="ListNumber"/>
        <w:spacing w:line="240" w:lineRule="auto"/>
        <w:ind w:left="720"/>
      </w:pPr>
      <w:r/>
      <w:hyperlink r:id="rId11">
        <w:r>
          <w:rPr>
            <w:color w:val="0000EE"/>
            <w:u w:val="single"/>
          </w:rPr>
          <w:t>https://www.washingtonpost.com/nation/2026/01/10/nationwide-ice-protests-minneapolis-shooting/</w:t>
        </w:r>
      </w:hyperlink>
      <w:r>
        <w:t xml:space="preserve"> - The Washington Post reports on demonstrations in Minneapolis and other US cities protesting Immigration and Customs Enforcement following the fatal shooting of Renee Good by an ICE officer. The article describes the protests, the response from local authorities and the political tensions surrounding federal immigration enforcement. In Minneapolis, demonstrations continued amid public anger and calls for accountability; the report also notes that police described events as largely peaceful until particular incidents occurred. It situates the local gatherings within a wider wave of protest, showing people taking to the streets to express opposition to enforcement practices and concern for their communities. This reporting provides a concrete example relevant to the column’s reference to people marching, opposing ICE and defending neighbours. The article includes differing accounts and details about the unfolding investigation, rather than presenting every allegation as established fact. It distinguishes reported events from disputed interpretations of the shooting and its aftermath. As breaking-news coverage, it captures developments at a particular moment, and later investigations or official findings may add information. The report supports the general point that people organised public demonstrations over immigration enforcement and community safety, but it is not evidence for every claim about the scale, motives or outcomes of all anti-ICE activism nationwide. Its focus is on protests and immediate reactions in January 2026, not a full history of US immigration policy or local mutual-aid efforts.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sfbaytimes.com/show-me-what-democracy-looks-like/?utm_source=rss&amp;utm_medium=rss&amp;utm_campaign=show-me-what-democracy-looks-like" TargetMode="External"/><Relationship Id="rId10" Type="http://schemas.openxmlformats.org/officeDocument/2006/relationships/hyperlink" Target="https://apnews.com/article/532e02f74b14107dbbe57b6d595131ce" TargetMode="External"/><Relationship Id="rId11" Type="http://schemas.openxmlformats.org/officeDocument/2006/relationships/hyperlink" Target="https://www.washingtonpost.com/nation/2026/01/10/nationwide-ice-protests-minneapolis-shooting/" TargetMode="External"/><Relationship Id="rId12" Type="http://schemas.openxmlformats.org/officeDocument/2006/relationships/hyperlink" Target="https://www.aclu.org/legislative-attacks-on-lgbtq-rights-2026" TargetMode="External"/><Relationship Id="rId13" Type="http://schemas.openxmlformats.org/officeDocument/2006/relationships/hyperlink" Target="https://database.ilga.org/criminalisation-consensual-same-sex-sexual-acts" TargetMode="External"/><Relationship Id="rId14" Type="http://schemas.openxmlformats.org/officeDocument/2006/relationships/hyperlink" Target="https://www.hrw.org/world-report/2025/country-chapters/germany" TargetMode="External"/><Relationship Id="rId15" Type="http://schemas.openxmlformats.org/officeDocument/2006/relationships/hyperlink" Target="https://freedomhouse.org/country/serbia/freedom-world/2026" TargetMode="External"/><Relationship Id="rId16" Type="http://schemas.openxmlformats.org/officeDocument/2006/relationships/hyperlink" Target="https://sfbaytimes.com/show-me-what-democracy-looks-lik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