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Vietnam LGBTQ+ Rights: Why Marriage Equality Remains Out of Reach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Vietnam's LGBTQ+ community is gaining public support, but legal recognition is moving far more slowly. Pride events in Hanoi and Ho Chi Minh City offer a telling measure of that gap, as public marches have been absent for a second year and same-sex couples still lack the legal protections marriage brings.</w:t>
      </w:r>
      <w:r/>
    </w:p>
    <w:p>
      <w:pPr>
        <w:pStyle w:val="Heading2"/>
      </w:pPr>
      <w:r>
        <w:t>Pride is visible, but the march is missing</w:t>
      </w:r>
      <w:r/>
    </w:p>
    <w:p>
      <w:r/>
      <w:r>
        <w:t xml:space="preserve">Vietnam's Pride celebrations have grown since VietPride began in 2012, spreading at one point to more than 30 cities and provinces. Yet this year's events in Hanoi and Ho Chi Minh City, held from 26 September to 4 October, were largely based indoors. The familiar spectacle of a giant rainbow flag moving through downtown Ho Chi Minh City was missing again. </w:t>
      </w:r>
      <w:hyperlink r:id="rId9">
        <w:r>
          <w:rPr>
            <w:color w:val="0000EE"/>
            <w:u w:val="single"/>
          </w:rPr>
          <w:t>[3]</w:t>
        </w:r>
      </w:hyperlink>
      <w:r>
        <w:t xml:space="preserve">, </w:t>
      </w:r>
      <w:hyperlink r:id="rId10">
        <w:r>
          <w:rPr>
            <w:color w:val="0000EE"/>
            <w:u w:val="single"/>
          </w:rPr>
          <w:t>[4]</w:t>
        </w:r>
      </w:hyperlink>
      <w:r/>
    </w:p>
    <w:p>
      <w:r/>
      <w:r>
        <w:t xml:space="preserve">That absence matters. A public march is more than a colourful photo opportunity: it gives LGBTQ+ people and supporters a chance to be seen together. Organisers cited unprecedented pressure on people involved in Pride activities, though the precise reason for the parade's cancellation remains unclear. </w:t>
      </w:r>
      <w:hyperlink r:id="rId9">
        <w:r>
          <w:rPr>
            <w:color w:val="0000EE"/>
            <w:u w:val="single"/>
          </w:rPr>
          <w:t>[3]</w:t>
        </w:r>
      </w:hyperlink>
      <w:r>
        <w:t xml:space="preserve">, </w:t>
      </w:r>
      <w:hyperlink r:id="rId10">
        <w:r>
          <w:rPr>
            <w:color w:val="0000EE"/>
            <w:u w:val="single"/>
          </w:rPr>
          <w:t>[4]</w:t>
        </w:r>
      </w:hyperlink>
      <w:r/>
    </w:p>
    <w:p>
      <w:pPr>
        <w:pStyle w:val="Heading2"/>
      </w:pPr>
      <w:r>
        <w:t>A decade after the marriage law changed, couples remain in limbo</w:t>
      </w:r>
      <w:r/>
    </w:p>
    <w:p>
      <w:r/>
      <w:r>
        <w:t xml:space="preserve">In 2015, Vietnam removed its formal ban on same-sex marriage, a change that drew international attention. But it stopped short of recognising same-sex marriages in law, leaving couples able to hold ceremonies without receiving a legal marriage certificate. </w:t>
      </w:r>
      <w:hyperlink r:id="rId11">
        <w:r>
          <w:rPr>
            <w:color w:val="0000EE"/>
            <w:u w:val="single"/>
          </w:rPr>
          <w:t>[7]</w:t>
        </w:r>
      </w:hyperlink>
      <w:r/>
    </w:p>
    <w:p>
      <w:r/>
      <w:r>
        <w:t xml:space="preserve">The result is a long-running halfway point: same-sex relationships aren't prohibited, but couples don't receive the legal status and protections that come with marriage. Earlier UN communications on sexual orientation and gender identity also underline why protection from discrimination remains an important part of the wider equality debate. </w:t>
      </w:r>
      <w:hyperlink r:id="rId12">
        <w:r>
          <w:rPr>
            <w:color w:val="0000EE"/>
            <w:u w:val="single"/>
          </w:rPr>
          <w:t>[5]</w:t>
        </w:r>
      </w:hyperlink>
      <w:r>
        <w:t xml:space="preserve">, </w:t>
      </w:r>
      <w:hyperlink r:id="rId13">
        <w:r>
          <w:rPr>
            <w:color w:val="0000EE"/>
            <w:u w:val="single"/>
          </w:rPr>
          <w:t>[6]</w:t>
        </w:r>
      </w:hyperlink>
      <w:r/>
    </w:p>
    <w:p>
      <w:pPr>
        <w:pStyle w:val="Heading2"/>
      </w:pPr>
      <w:r>
        <w:t>Public attitudes are moving faster than policy</w:t>
      </w:r>
      <w:r/>
    </w:p>
    <w:p>
      <w:r/>
      <w:r>
        <w:t xml:space="preserve">There are signs that Vietnamese society is becoming more accepting. A 2025 UN Development Programme survey found that 65 per cent of respondents supported same-sex marriage, up from 37 per cent in 2013. That shift suggests public opinion is not standing still, even as legal change remains slow. </w:t>
      </w:r>
      <w:hyperlink r:id="rId10">
        <w:r>
          <w:rPr>
            <w:color w:val="0000EE"/>
            <w:u w:val="single"/>
          </w:rPr>
          <w:t>[4]</w:t>
        </w:r>
      </w:hyperlink>
      <w:r/>
    </w:p>
    <w:p>
      <w:r/>
      <w:r>
        <w:t xml:space="preserve">Pride gatherings and community campaigns have also helped make LGBTQ+ lives more visible in public discussion. UNDP's account of Pride and progress in Vietnam points to the role of community activity in advancing inclusion, while UN statements have repeatedly highlighted the need to prevent violence and discrimination based on sexual orientation and gender identity. </w:t>
      </w:r>
      <w:hyperlink r:id="rId10">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p>
    <w:p>
      <w:pPr>
        <w:pStyle w:val="Heading2"/>
      </w:pPr>
      <w:r>
        <w:t>Why gradual change can still leave people behind</w:t>
      </w:r>
      <w:r/>
    </w:p>
    <w:p>
      <w:r/>
      <w:r>
        <w:t xml:space="preserve">Vietnam's cautious approach may reflect a desire to avoid provoking social backlash, but it has a cost. When the law leaves couples in limbo, people can mistake the absence of a ban for equality, even though same-sex couples still lack legal recognition. </w:t>
      </w:r>
      <w:hyperlink r:id="rId9">
        <w:r>
          <w:rPr>
            <w:color w:val="0000EE"/>
            <w:u w:val="single"/>
          </w:rPr>
          <w:t>[3]</w:t>
        </w:r>
      </w:hyperlink>
      <w:r>
        <w:t xml:space="preserve">, </w:t>
      </w:r>
      <w:hyperlink r:id="rId13">
        <w:r>
          <w:rPr>
            <w:color w:val="0000EE"/>
            <w:u w:val="single"/>
          </w:rPr>
          <w:t>[6]</w:t>
        </w:r>
      </w:hyperlink>
      <w:r/>
    </w:p>
    <w:p>
      <w:r/>
      <w:r>
        <w:t xml:space="preserve">Economic progress alone won't resolve that gap. If Vietnam wants its promise of leaving no one behind to mean something in daily life, legal protections and public education need to advance alongside growth. Consultation with LGBTQ+ organisations could help turn broad support into practical changes, rather than leaving equality as an aspiration. </w:t>
      </w:r>
      <w:hyperlink r:id="rId10">
        <w:r>
          <w:rPr>
            <w:color w:val="0000EE"/>
            <w:u w:val="single"/>
          </w:rPr>
          <w:t>[4]</w:t>
        </w:r>
      </w:hyperlink>
      <w:r>
        <w:t xml:space="preserve">, </w:t>
      </w:r>
      <w:hyperlink r:id="rId13">
        <w:r>
          <w:rPr>
            <w:color w:val="0000EE"/>
            <w:u w:val="single"/>
          </w:rPr>
          <w:t>[6]</w:t>
        </w:r>
      </w:hyperlink>
      <w:r/>
    </w:p>
    <w:p>
      <w:r/>
      <w:r>
        <w:t xml:space="preserve">The road to marriage equality in Vietnam remains long, but growing public support makes it harder to argue that the issue can simply wait. </w:t>
      </w:r>
      <w:hyperlink r:id="rId9">
        <w:r>
          <w:rPr>
            <w:color w:val="0000EE"/>
            <w:u w:val="single"/>
          </w:rPr>
          <w:t>[3]</w:t>
        </w:r>
      </w:hyperlink>
      <w:r>
        <w:t xml:space="preserve">, </w:t>
      </w:r>
      <w:hyperlink r:id="rId10">
        <w:r>
          <w:rPr>
            <w:color w:val="0000EE"/>
            <w:u w:val="single"/>
          </w:rPr>
          <w:t>[4]</w:t>
        </w:r>
      </w:hyperlink>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9">
        <w:r>
          <w:rPr>
            <w:color w:val="0000EE"/>
            <w:u w:val="single"/>
          </w:rPr>
          <w:t>[3]</w:t>
        </w:r>
      </w:hyperlink>
      <w:r>
        <w:t xml:space="preserve">, </w:t>
      </w:r>
      <w:hyperlink r:id="rId10">
        <w:r>
          <w:rPr>
            <w:color w:val="0000EE"/>
            <w:u w:val="single"/>
          </w:rPr>
          <w:t>[4]</w:t>
        </w:r>
      </w:hyperlink>
      <w:r>
        <w:t xml:space="preserve">- Paragraph 3: </w:t>
      </w:r>
      <w:hyperlink r:id="rId11">
        <w:r>
          <w:rPr>
            <w:color w:val="0000EE"/>
            <w:u w:val="single"/>
          </w:rPr>
          <w:t>[7]</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10">
        <w:r>
          <w:rPr>
            <w:color w:val="0000EE"/>
            <w:u w:val="single"/>
          </w:rPr>
          <w:t>[4]</w:t>
        </w:r>
      </w:hyperlink>
      <w:r>
        <w:t xml:space="preserve">- Paragraph 6: </w:t>
      </w:r>
      <w:hyperlink r:id="rId10">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Paragraph 7: </w:t>
      </w:r>
      <w:hyperlink r:id="rId9">
        <w:r>
          <w:rPr>
            <w:color w:val="0000EE"/>
            <w:u w:val="single"/>
          </w:rPr>
          <w:t>[3]</w:t>
        </w:r>
      </w:hyperlink>
      <w:r>
        <w:t xml:space="preserve">, </w:t>
      </w:r>
      <w:hyperlink r:id="rId13">
        <w:r>
          <w:rPr>
            <w:color w:val="0000EE"/>
            <w:u w:val="single"/>
          </w:rPr>
          <w:t>[6]</w:t>
        </w:r>
      </w:hyperlink>
      <w:r>
        <w:t xml:space="preserve">- Paragraph 8: </w:t>
      </w:r>
      <w:hyperlink r:id="rId10">
        <w:r>
          <w:rPr>
            <w:color w:val="0000EE"/>
            <w:u w:val="single"/>
          </w:rPr>
          <w:t>[4]</w:t>
        </w:r>
      </w:hyperlink>
      <w:r>
        <w:t xml:space="preserve">, </w:t>
      </w:r>
      <w:hyperlink r:id="rId13">
        <w:r>
          <w:rPr>
            <w:color w:val="0000EE"/>
            <w:u w:val="single"/>
          </w:rPr>
          <w:t>[6]</w:t>
        </w:r>
      </w:hyperlink>
      <w:r>
        <w:t xml:space="preserve">- Paragraph 9: </w:t>
      </w:r>
      <w:hyperlink r:id="rId9">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https://thediplomat.com/2026/11/vietnam-is-rising-but-will-it-leave-the-rainbow-behind/</w:t>
        </w:r>
      </w:hyperlink>
      <w:r>
        <w:t xml:space="preserve"> - Please view link - unable to able to access data</w:t>
      </w:r>
      <w:r/>
    </w:p>
    <w:p>
      <w:pPr>
        <w:pStyle w:val="ListNumber"/>
        <w:spacing w:line="240" w:lineRule="auto"/>
        <w:ind w:left="720"/>
      </w:pPr>
      <w:r/>
      <w:hyperlink r:id="rId15">
        <w:r>
          <w:rPr>
            <w:color w:val="0000EE"/>
            <w:u w:val="single"/>
          </w:rPr>
          <w:t>https://sv13.thediplomat.com/2026/11/vietnam-is-rising-but-will-it-leave-the-rainbow-behind/</w:t>
        </w:r>
      </w:hyperlink>
      <w:r>
        <w:t xml:space="preserve"> - The article examines whether Vietnam’s ambition to become a more prosperous and inclusive society will bring meaningful progress for LGBTQ+ people. It argues that legal recognition of same-sex marriage remains unlikely in the near future, despite the community’s growing visibility and evidence of increasing public acceptance. The authors describe VietPride’s development since 2012 and the limited public presence of recent Pride events, including the cancellation of a prominent Ho Chi Minh City parade. They connect that setback with broader constraints on civil society, while noting that the precise reason for the cancellation is unclear. The article traces Vietnam’s 2015 removal of the explicit ban on same-sex marriage: couples may hold ceremonies and live together, but their unions are not legally recognised. It also discusses how earlier expectations of rapid reform faded as the government prioritised economic development. Constitutional amendment campaigning and proposals to recognise same-gender parents on children’s birth certificates are presented as examples of advocacy that has not yet produced decisive legal change. The authors characterise the government’s approach as gradual and cautious, shaped by social norms and concern about backlash. They conclude that economic growth alone cannot guarantee equality, and call for legal protections, consultation with LGBTQ+ organisations, education and community dialogue.</w:t>
      </w:r>
      <w:r/>
    </w:p>
    <w:p>
      <w:pPr>
        <w:pStyle w:val="ListNumber"/>
        <w:spacing w:line="240" w:lineRule="auto"/>
        <w:ind w:left="720"/>
      </w:pPr>
      <w:r/>
      <w:hyperlink r:id="rId9">
        <w:r>
          <w:rPr>
            <w:color w:val="0000EE"/>
            <w:u w:val="single"/>
          </w:rPr>
          <w:t>https://vsforum.org/article/vietnams-quiet-lgbt-politics</w:t>
        </w:r>
      </w:hyperlink>
      <w:r>
        <w:t xml:space="preserve"> - This analysis considers what the absence of major Pride parades in Vietnam in 2025 may indicate about the country’s LGBTQ+ politics. It reports that VietPride organisers cancelled the Ho Chi Minh City parade and several related events, citing external obstacles, while Hanoi Pride reduced the scale of its activities. The author notes that observers interpreted these developments as possible signs of a tighter political environment and shrinking space for civil society. However, the article cautions against treating the cancellations as proof of a wholesale reversal in official LGBTQ+ policy. Instead, it suggests that authorities may be seeking to control public gatherings and the broader public sphere amid regional political unrest and youth-led demonstrations. The discussion places LGBTQ+ advocacy within a political system that has generally tolerated some activism and awareness-raising, while maintaining strong limits on public organisation. It also links the government’s priorities to political stability, social cohesion and national unity, as Vietnam pursues its long-term development ambitions. The article argues that inclusion can support economic development by enabling wider participation and using the abilities of the whole population. It concludes that the country’s future approach to LGBTQ+ rights will depend on whether political leaders translate economic and inclusion goals into stronger protections and meaningful legal recognition.</w:t>
      </w:r>
      <w:r/>
    </w:p>
    <w:p>
      <w:pPr>
        <w:pStyle w:val="ListNumber"/>
        <w:spacing w:line="240" w:lineRule="auto"/>
        <w:ind w:left="720"/>
      </w:pPr>
      <w:r/>
      <w:hyperlink r:id="rId10">
        <w:r>
          <w:rPr>
            <w:color w:val="0000EE"/>
            <w:u w:val="single"/>
          </w:rPr>
          <w:t>https://www.undp.org/vietnam/blog/toward-inclusive-viet-nam-pride-progress-and-path</w:t>
        </w:r>
      </w:hyperlink>
      <w:r>
        <w:t xml:space="preserve"> - In this article, UNDP’s Deputy Resident Representative describes growing public acceptance of LGBTQ+ people in Vietnam and considers how inclusion relates to national development. It reports that support for same-sex marriage has risen from roughly one-third of respondents in 2013 to 65 per cent in the latest survey cited, while opposition is reported at 5.8 per cent. The article also describes substantial support for same-sex couples’ ability to adopt and raise children, and greater recognition of gender diversity. It attributes changing attitudes to increased visibility, dialogue and the efforts of LGBTQ+ communities and Vietnamese institutions. The author argues that inclusion has practical economic value as well as human-rights importance. Discrimination, the article says, can harm productivity and limit economic growth by preventing people from contributing fully. A 2025 UNDP study of transgender people’s workplace experiences is cited as evidence of the effects of stigma, including prolonged stress and withdrawal from employment. The piece also points to regional research associating inclusion with stronger competitiveness in attracting investment, tourism and skilled workers. It identifies possible policy opportunities, including reviews of marriage and family law, gender equality legislation and discussions of gender affirmation and anti-discrimination measures. Its central message is that Vietnam’s development ambitions will be better served when all citizens can participate fully.</w:t>
      </w:r>
      <w:r/>
    </w:p>
    <w:p>
      <w:pPr>
        <w:pStyle w:val="ListNumber"/>
        <w:spacing w:line="240" w:lineRule="auto"/>
        <w:ind w:left="720"/>
      </w:pPr>
      <w:r/>
      <w:hyperlink r:id="rId12">
        <w:r>
          <w:rPr>
            <w:color w:val="0000EE"/>
            <w:u w:val="single"/>
          </w:rPr>
          <w:t>https://vietnam.un.org/en/3947-un-viet-nams-statement-idahot-2019</w:t>
        </w:r>
      </w:hyperlink>
      <w:r>
        <w:t xml:space="preserve"> - The United Nations in Vietnam’s 2019 statement on the International Day Against Homophobia, Transphobia and Biphobia reviews legal developments and continuing challenges for LGBTQ+ people. It says Vietnam removed the explicit prohibition on same-sex marriage through revisions to its Marriage and Family Law, while stressing that this change did not establish legal recognition of same-sex unions. The statement also notes that amendments to the Civil Code created a basis for people to register a new gender marker, but that implementing legislation was still needed to make the process effective. It explains why accurate identity documents matter: mismatches between a person’s gender identity and official records can obstruct access to health and social services and contribute to difficulties in employment, housing and transport. The UN calls for procedures grounded in self-determination and not dependent on medical diagnosis, surgery or hormonal treatment. The statement situates these reforms within Vietnam’s human-rights commitments and the Sustainable Development Goals’ promise to leave no one behind. It recognises progress, including government engagement and public consultations with LGBTQ+ people, but urges further action against stigma and discrimination. Its overall position is that legal change should protect people’s dignity in practice, not merely establish principles on paper.</w:t>
      </w:r>
      <w:r/>
    </w:p>
    <w:p>
      <w:pPr>
        <w:pStyle w:val="ListNumber"/>
        <w:spacing w:line="240" w:lineRule="auto"/>
        <w:ind w:left="720"/>
      </w:pPr>
      <w:r/>
      <w:hyperlink r:id="rId13">
        <w:r>
          <w:rPr>
            <w:color w:val="0000EE"/>
            <w:u w:val="single"/>
          </w:rPr>
          <w:t>https://www.undp.org/vietnam/speeches/protection-against-violence-and-discrimination-based-on-sexual-orientation-and-gender-identity-international-and-vietnam</w:t>
        </w:r>
      </w:hyperlink>
      <w:r>
        <w:t xml:space="preserve"> - These opening remarks by a senior UNDP representative describe Vietnam’s progress and remaining gaps in protecting people from discrimination based on sexual orientation and gender identity. The speech credits LGBTQ+ organisations with sustained advocacy that has increased visibility and contributed to policy change. It identifies the removal of provisions outlawing same-sex marriage in the 2014 Marriage and Family Law as an important step, and notes that a 2015 Civil Code amendment opened the way to legal gender-marker changes for transgender people. Yet the speech emphasises that these developments did not create legal recognition for same-sex relationships. Consequently, same-sex couples remain without important protections and entitlements, including in areas such as adoption and inheritance. It also describes continuing barriers faced by transgender people whose identity documents do not reflect their lived gender, affecting access to healthcare, housing and employment. Discrimination and violence are reported across homes, schools and workplaces. The address argues that policy-making must include the people most affected, invoking the principle that decisions should not be made about communities without their participation. It encourages dialogue between government, civil society and international partners, and calls for laws and policies that prevent violence and discrimination. The speech therefore supports the article’s distinction between removing a prohibition and granting substantive legal rights.</w:t>
      </w:r>
      <w:r/>
    </w:p>
    <w:p>
      <w:pPr>
        <w:pStyle w:val="ListNumber"/>
        <w:spacing w:line="240" w:lineRule="auto"/>
        <w:ind w:left="720"/>
      </w:pPr>
      <w:r/>
      <w:hyperlink r:id="rId11">
        <w:r>
          <w:rPr>
            <w:color w:val="0000EE"/>
            <w:u w:val="single"/>
          </w:rPr>
          <w:t>https://time.com/4184240/same-sex-gay-lgbt-marriage-ban-lifted-vietnam/</w:t>
        </w:r>
      </w:hyperlink>
      <w:r>
        <w:t xml:space="preserve"> - This TIME report, published in January 2016, looks at the consequences of Vietnam’s removal of its legal prohibition on same-sex marriage. It explains that the change took effect on 1 January 2015 and attracted international attention, with some describing Vietnam as a regional leader on gay rights. Couples began planning wedding ceremonies after the law changed. However, the report makes clear that lifting the prohibition did not give same-sex couples legally recognised marriages or the protections that accompany marriage. It also highlights the social problems LGBTQ+ young people continued to face, particularly bullying and violence in schools. Drawing on local reporting and UNESCO research, it describes serious stigma experienced by students, including cases in which school staff were reported to have victimised LGBTQ+ pupils. The article thus illustrates the gap between a symbolic legal breakthrough and everyday equality: couples could celebrate publicly, but their relationships remained without full legal status, while discrimination persisted. It provides useful background for understanding why the 2015 change should not be described as full marriage equality. The report also records a correction clarifying that the ban was lifted in 2015, rather than the year mistakenly stated in an earlier version.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vsforum.org/article/vietnams-quiet-lgbt-politics" TargetMode="External"/><Relationship Id="rId10" Type="http://schemas.openxmlformats.org/officeDocument/2006/relationships/hyperlink" Target="https://www.undp.org/vietnam/blog/toward-inclusive-viet-nam-pride-progress-and-path" TargetMode="External"/><Relationship Id="rId11" Type="http://schemas.openxmlformats.org/officeDocument/2006/relationships/hyperlink" Target="https://time.com/4184240/same-sex-gay-lgbt-marriage-ban-lifted-vietnam/" TargetMode="External"/><Relationship Id="rId12" Type="http://schemas.openxmlformats.org/officeDocument/2006/relationships/hyperlink" Target="https://vietnam.un.org/en/3947-un-viet-nams-statement-idahot-2019" TargetMode="External"/><Relationship Id="rId13" Type="http://schemas.openxmlformats.org/officeDocument/2006/relationships/hyperlink" Target="https://www.undp.org/vietnam/speeches/protection-against-violence-and-discrimination-based-on-sexual-orientation-and-gender-identity-international-and-vietnam" TargetMode="External"/><Relationship Id="rId14" Type="http://schemas.openxmlformats.org/officeDocument/2006/relationships/hyperlink" Target="https://thediplomat.com/2026/11/vietnam-is-rising-but-will-it-leave-the-rainbow-behind/" TargetMode="External"/><Relationship Id="rId15" Type="http://schemas.openxmlformats.org/officeDocument/2006/relationships/hyperlink" Target="https://sv13.thediplomat.com/2026/11/vietnam-is-rising-but-will-it-leave-the-rainbow-behin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