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Venezuela’s LGBTIQ+ Violence Report: 198 Cases in Nine Months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report on LGBTIQ+ violence in Venezuela records at least 198 cases between January and September, including discriminatory speech, prejudice-based offences and two killings. The findings highlight the risks faced by people across the country, from barriers at work and in public spaces to alleged abuses by officials, and underline calls for stronger protections.</w:t>
      </w:r>
      <w:r/>
    </w:p>
    <w:p>
      <w:pPr>
        <w:pStyle w:val="Heading2"/>
      </w:pPr>
      <w:r>
        <w:t>Essential Takeaways</w:t>
      </w:r>
      <w:r/>
      <w:r/>
    </w:p>
    <w:p>
      <w:pPr>
        <w:pStyle w:val="ListBullet"/>
        <w:spacing w:line="240" w:lineRule="auto"/>
        <w:ind w:left="720"/>
      </w:pPr>
      <w:r/>
      <w:r>
        <w:rPr>
          <w:b/>
        </w:rPr>
        <w:t>198 cases recorded:</w:t>
      </w:r>
      <w:r>
        <w:t xml:space="preserve"> The Venezuelan Observatory of LGBTIQ+ Violence documented incidents from January to September.</w:t>
      </w:r>
      <w:r/>
    </w:p>
    <w:p>
      <w:pPr>
        <w:pStyle w:val="ListBullet"/>
        <w:spacing w:line="240" w:lineRule="auto"/>
        <w:ind w:left="720"/>
      </w:pPr>
      <w:r/>
      <w:r>
        <w:rPr>
          <w:b/>
        </w:rPr>
        <w:t>Discrimination was widespread:</w:t>
      </w:r>
      <w:r>
        <w:t xml:space="preserve"> The tally includes 150 instances of discriminatory speech, 24 prejudice-based crimes and 22 discriminatory incidents.</w:t>
      </w:r>
      <w:r/>
    </w:p>
    <w:p>
      <w:pPr>
        <w:pStyle w:val="ListBullet"/>
        <w:spacing w:line="240" w:lineRule="auto"/>
        <w:ind w:left="720"/>
      </w:pPr>
      <w:r/>
      <w:r>
        <w:rPr>
          <w:b/>
        </w:rPr>
        <w:t>Two people were killed:</w:t>
      </w:r>
      <w:r>
        <w:t xml:space="preserve"> The report documents the killings of a stylist in Sucre state and a 23-year-old trans woman in Táchira.</w:t>
      </w:r>
      <w:r/>
    </w:p>
    <w:p>
      <w:pPr>
        <w:pStyle w:val="ListBullet"/>
        <w:spacing w:line="240" w:lineRule="auto"/>
        <w:ind w:left="720"/>
      </w:pPr>
      <w:r/>
      <w:r>
        <w:rPr>
          <w:b/>
        </w:rPr>
        <w:t>Power was a factor:</w:t>
      </w:r>
      <w:r>
        <w:t xml:space="preserve"> The observatory says people in positions of power were identified as aggressors in 154 cases.</w:t>
      </w:r>
      <w:r/>
    </w:p>
    <w:p>
      <w:pPr>
        <w:pStyle w:val="ListBullet"/>
        <w:spacing w:line="240" w:lineRule="auto"/>
        <w:ind w:left="720"/>
      </w:pPr>
      <w:r/>
      <w:r>
        <w:rPr>
          <w:b/>
        </w:rPr>
        <w:t>Rights remain restricted:</w:t>
      </w:r>
      <w:r>
        <w:t xml:space="preserve"> The report points to barriers involving marriage, identity documents and blood donation.</w:t>
      </w:r>
      <w:r/>
      <w:r/>
    </w:p>
    <w:p>
      <w:pPr>
        <w:pStyle w:val="Heading2"/>
      </w:pPr>
      <w:r>
        <w:t>Venezuela’s 198 reported cases paint a stark picture</w:t>
      </w:r>
      <w:r/>
    </w:p>
    <w:p>
      <w:r/>
      <w:r>
        <w:t>The figures are more than a tally. They describe a climate in which discrimination can reach into family life, school, work and nightlife, while some people also face serious risks from those with authority. The observatory’s count covers January to September and includes both discriminatory speech and acts of violence.</w:t>
      </w:r>
      <w:r/>
    </w:p>
    <w:p>
      <w:r/>
      <w:r>
        <w:t xml:space="preserve">Of the cases recorded, 150 involved discriminatory speech, 24 were classified as prejudice-based crimes and 22 as discriminatory incidents. The organisation also documented one disappearance and one episode of violence between members of the LGBTIQ+ community, according to reporting by Infobae and EFE. </w:t>
      </w:r>
      <w:hyperlink r:id="rId9">
        <w:r>
          <w:rPr>
            <w:color w:val="0000EE"/>
            <w:u w:val="single"/>
          </w:rPr>
          <w:t>[3]</w:t>
        </w:r>
      </w:hyperlink>
      <w:r/>
    </w:p>
    <w:p>
      <w:r/>
      <w:r>
        <w:t xml:space="preserve">The two killings reported over the period involved a stylist found at his home in Sucre state in May, and a 23-year-old trans woman killed at a nightlife venue in Táchira in August. Their deaths underline the human cost behind statistics that can otherwise feel distant. </w:t>
      </w:r>
      <w:hyperlink r:id="rId9">
        <w:r>
          <w:rPr>
            <w:color w:val="0000EE"/>
            <w:u w:val="single"/>
          </w:rPr>
          <w:t>[3]</w:t>
        </w:r>
      </w:hyperlink>
      <w:r/>
    </w:p>
    <w:p>
      <w:pPr>
        <w:pStyle w:val="Heading2"/>
      </w:pPr>
      <w:r>
        <w:t>The Lara raid brought allegations of police abuse</w:t>
      </w:r>
      <w:r/>
    </w:p>
    <w:p>
      <w:r/>
      <w:r>
        <w:t xml:space="preserve">In May, 33 men were detained during a raid on an LGBTIQ+ entertainment venue in Lara state. Those affected said police accused them of committing the supposed “crime of homosexuality” and extorted them, according to reporting by Swissinfo and TalCual. </w:t>
      </w:r>
      <w:hyperlink r:id="rId10">
        <w:r>
          <w:rPr>
            <w:color w:val="0000EE"/>
            <w:u w:val="single"/>
          </w:rPr>
          <w:t>[5]</w:t>
        </w:r>
      </w:hyperlink>
      <w:r>
        <w:t xml:space="preserve">, </w:t>
      </w:r>
      <w:hyperlink r:id="rId11">
        <w:r>
          <w:rPr>
            <w:color w:val="0000EE"/>
            <w:u w:val="single"/>
          </w:rPr>
          <w:t>[6]</w:t>
        </w:r>
      </w:hyperlink>
      <w:r/>
    </w:p>
    <w:p>
      <w:r/>
      <w:r>
        <w:t xml:space="preserve">Venezuela’s Public Ministry later announced an investigation, and five police officers were detained. The case brought renewed attention to concerns about police conduct and the vulnerability of people targeted because of their sexual orientation or gender identity. </w:t>
      </w:r>
      <w:hyperlink r:id="rId10">
        <w:r>
          <w:rPr>
            <w:color w:val="0000EE"/>
            <w:u w:val="single"/>
          </w:rPr>
          <w:t>[5]</w:t>
        </w:r>
      </w:hyperlink>
      <w:r/>
    </w:p>
    <w:p>
      <w:r/>
      <w:r>
        <w:t xml:space="preserve">The observatory also reported that aggressors were people in positions of power in 154 cases. It recorded 23 incidents involving civilians and 13 involving state officials, categories that show why accountability is central to the organisation’s demands. </w:t>
      </w:r>
      <w:hyperlink r:id="rId9">
        <w:r>
          <w:rPr>
            <w:color w:val="0000EE"/>
            <w:u w:val="single"/>
          </w:rPr>
          <w:t>[3]</w:t>
        </w:r>
      </w:hyperlink>
      <w:r/>
    </w:p>
    <w:p>
      <w:pPr>
        <w:pStyle w:val="Heading2"/>
      </w:pPr>
      <w:r>
        <w:t>Everyday discrimination can close off ordinary choices</w:t>
      </w:r>
      <w:r/>
    </w:p>
    <w:p>
      <w:r/>
      <w:r>
        <w:t xml:space="preserve">The report describes discrimination in familiar settings: rejection within families, harassment by classmates or colleagues, and difficulty getting into nightclubs or finding work. It also lists barriers to donating blood, a restriction affecting gay men, among the wider limits on equal treatment. </w:t>
      </w:r>
      <w:hyperlink r:id="rId9">
        <w:r>
          <w:rPr>
            <w:color w:val="0000EE"/>
            <w:u w:val="single"/>
          </w:rPr>
          <w:t>[3]</w:t>
        </w:r>
      </w:hyperlink>
      <w:r/>
    </w:p>
    <w:p>
      <w:r/>
      <w:r>
        <w:t xml:space="preserve">Trans people face a separate legal obstacle: they may be required to use identity documents bearing a name that does not reflect who they are. Same-sex couples also lack the right to marry in Venezuela, according to the report. These restrictions can turn routine tasks into repeated negotiations over recognition and dignity. </w:t>
      </w:r>
      <w:hyperlink r:id="rId9">
        <w:r>
          <w:rPr>
            <w:color w:val="0000EE"/>
            <w:u w:val="single"/>
          </w:rPr>
          <w:t>[3]</w:t>
        </w:r>
      </w:hyperlink>
      <w:r>
        <w:t xml:space="preserve">, </w:t>
      </w:r>
      <w:hyperlink r:id="rId12">
        <w:r>
          <w:rPr>
            <w:color w:val="0000EE"/>
            <w:u w:val="single"/>
          </w:rPr>
          <w:t>[7]</w:t>
        </w:r>
      </w:hyperlink>
      <w:r/>
    </w:p>
    <w:p>
      <w:r/>
      <w:r>
        <w:t xml:space="preserve">For anyone documenting discrimination, practical details matter. Keeping a dated record of what happened, saving messages or other evidence, and seeking support from a trusted organisation can help when considering whether to report an incident. The Venezuelan organisation No Más Discriminación provides information and resources on discrimination. </w:t>
      </w:r>
      <w:hyperlink r:id="rId13">
        <w:r>
          <w:rPr>
            <w:color w:val="0000EE"/>
            <w:u w:val="single"/>
          </w:rPr>
          <w:t>[4]</w:t>
        </w:r>
      </w:hyperlink>
      <w:r/>
    </w:p>
    <w:p>
      <w:pPr>
        <w:pStyle w:val="Heading2"/>
      </w:pPr>
      <w:r>
        <w:t>Humanitarian response and civic space matter too</w:t>
      </w:r>
      <w:r/>
    </w:p>
    <w:p>
      <w:r/>
      <w:r>
        <w:t xml:space="preserve">The observatory warned of a lack of humanitarian projects and programmes designed with LGBTIQ+ and gender perspectives after a devastating double earthquake in June. When emergency support overlooks people’s specific needs, those already facing exclusion can be left with fewer safe routes to help. </w:t>
      </w:r>
      <w:hyperlink r:id="rId9">
        <w:r>
          <w:rPr>
            <w:color w:val="0000EE"/>
            <w:u w:val="single"/>
          </w:rPr>
          <w:t>[3]</w:t>
        </w:r>
      </w:hyperlink>
      <w:r/>
    </w:p>
    <w:p>
      <w:r/>
      <w:r>
        <w:t xml:space="preserve">Its recommendations include ending hate speech, investigating alleged state abuses, protecting civic space for organisations and activists, and incorporating gender and diversity into humanitarian responses. These are broad demands, but they speak to something practical: protection depends not only on laws, but also on whether people can seek help without fear. </w:t>
      </w:r>
      <w:hyperlink r:id="rId9">
        <w:r>
          <w:rPr>
            <w:color w:val="0000EE"/>
            <w:u w:val="single"/>
          </w:rPr>
          <w:t>[3]</w:t>
        </w:r>
      </w:hyperlink>
      <w:r>
        <w:t xml:space="preserve">, </w:t>
      </w:r>
      <w:hyperlink r:id="rId12">
        <w:r>
          <w:rPr>
            <w:color w:val="0000EE"/>
            <w:u w:val="single"/>
          </w:rPr>
          <w:t>[7]</w:t>
        </w:r>
      </w:hyperlink>
      <w:r/>
    </w:p>
    <w:p>
      <w:r/>
      <w:r>
        <w:t xml:space="preserve">Hundreds of people protested in Caracas on 31 October, calling for recognition of LGBTIQ+ rights. That public action offered a visible reminder that, alongside the risks documented in the report, people continue to organise and press for change. </w:t>
      </w:r>
      <w:hyperlink r:id="rId9">
        <w:r>
          <w:rPr>
            <w:color w:val="0000EE"/>
            <w:u w:val="single"/>
          </w:rPr>
          <w:t>[3]</w:t>
        </w:r>
      </w:hyperlink>
      <w:r/>
    </w:p>
    <w:p>
      <w:pPr>
        <w:pStyle w:val="Heading2"/>
      </w:pPr>
      <w:r>
        <w:t>The next step is turning evidence into protection</w:t>
      </w:r>
      <w:r/>
    </w:p>
    <w:p>
      <w:r/>
      <w:r>
        <w:t xml:space="preserve">The observatory recorded 372 cases of violence in the previous year, and says the conditions behind this year’s cases remain entrenched. Its figures are a reminder that tracking incidents is only a starting point; investigations, protections and equal access to services must follow. </w:t>
      </w:r>
      <w:hyperlink r:id="rId9">
        <w:r>
          <w:rPr>
            <w:color w:val="0000EE"/>
            <w:u w:val="single"/>
          </w:rPr>
          <w:t>[3]</w:t>
        </w:r>
      </w:hyperlink>
      <w:r/>
    </w:p>
    <w:p>
      <w:r/>
      <w:r>
        <w:t xml:space="preserve">The key question now is whether the report’s recommendations lead to concrete action, particularly where alleged abuses involve people in positions of power. For people facing discrimination, safer communities depend on institutions taking complaints seriously and making support accessible. </w:t>
      </w:r>
      <w:hyperlink r:id="rId9">
        <w:r>
          <w:rPr>
            <w:color w:val="0000EE"/>
            <w:u w:val="single"/>
          </w:rPr>
          <w:t>[3]</w:t>
        </w:r>
      </w:hyperlink>
      <w:r>
        <w:t xml:space="preserve">, </w:t>
      </w:r>
      <w:hyperlink r:id="rId12">
        <w:r>
          <w:rPr>
            <w:color w:val="0000EE"/>
            <w:u w:val="single"/>
          </w:rPr>
          <w:t>[7]</w:t>
        </w:r>
      </w:hyperlink>
      <w:r/>
    </w:p>
    <w:p>
      <w:r/>
      <w:r>
        <w:t>It’s a small step to listen and speak up, but lasting safety takes accountability.</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9">
        <w:r>
          <w:rPr>
            <w:color w:val="0000EE"/>
            <w:u w:val="single"/>
          </w:rPr>
          <w:t>[3]</w:t>
        </w:r>
      </w:hyperlink>
      <w:r>
        <w:t xml:space="preserve">- Paragraph 3: </w:t>
      </w:r>
      <w:hyperlink r:id="rId9">
        <w:r>
          <w:rPr>
            <w:color w:val="0000EE"/>
            <w:u w:val="single"/>
          </w:rPr>
          <w:t>[3]</w:t>
        </w:r>
      </w:hyperlink>
      <w:r>
        <w:t xml:space="preserve">- Paragraph 4: </w:t>
      </w:r>
      <w:hyperlink r:id="rId10">
        <w:r>
          <w:rPr>
            <w:color w:val="0000EE"/>
            <w:u w:val="single"/>
          </w:rPr>
          <w:t>[5]</w:t>
        </w:r>
      </w:hyperlink>
      <w:r>
        <w:t xml:space="preserve">, </w:t>
      </w:r>
      <w:hyperlink r:id="rId11">
        <w:r>
          <w:rPr>
            <w:color w:val="0000EE"/>
            <w:u w:val="single"/>
          </w:rPr>
          <w:t>[6]</w:t>
        </w:r>
      </w:hyperlink>
      <w:r>
        <w:t xml:space="preserve">- Paragraph 5: </w:t>
      </w:r>
      <w:hyperlink r:id="rId10">
        <w:r>
          <w:rPr>
            <w:color w:val="0000EE"/>
            <w:u w:val="single"/>
          </w:rPr>
          <w:t>[5]</w:t>
        </w:r>
      </w:hyperlink>
      <w:r>
        <w:t xml:space="preserve">- Paragraph 6: </w:t>
      </w:r>
      <w:hyperlink r:id="rId9">
        <w:r>
          <w:rPr>
            <w:color w:val="0000EE"/>
            <w:u w:val="single"/>
          </w:rPr>
          <w:t>[3]</w:t>
        </w:r>
      </w:hyperlink>
      <w:r>
        <w:t xml:space="preserve">- Paragraph 7: </w:t>
      </w:r>
      <w:hyperlink r:id="rId9">
        <w:r>
          <w:rPr>
            <w:color w:val="0000EE"/>
            <w:u w:val="single"/>
          </w:rPr>
          <w:t>[3]</w:t>
        </w:r>
      </w:hyperlink>
      <w:r>
        <w:t xml:space="preserve">- Paragraph 8: </w:t>
      </w:r>
      <w:hyperlink r:id="rId9">
        <w:r>
          <w:rPr>
            <w:color w:val="0000EE"/>
            <w:u w:val="single"/>
          </w:rPr>
          <w:t>[3]</w:t>
        </w:r>
      </w:hyperlink>
      <w:r>
        <w:t xml:space="preserve">, </w:t>
      </w:r>
      <w:hyperlink r:id="rId12">
        <w:r>
          <w:rPr>
            <w:color w:val="0000EE"/>
            <w:u w:val="single"/>
          </w:rPr>
          <w:t>[7]</w:t>
        </w:r>
      </w:hyperlink>
      <w:r>
        <w:t xml:space="preserve">- Paragraph 9: </w:t>
      </w:r>
      <w:hyperlink r:id="rId13">
        <w:r>
          <w:rPr>
            <w:color w:val="0000EE"/>
            <w:u w:val="single"/>
          </w:rPr>
          <w:t>[4]</w:t>
        </w:r>
      </w:hyperlink>
      <w:r>
        <w:t xml:space="preserve">- Paragraph 10: </w:t>
      </w:r>
      <w:hyperlink r:id="rId9">
        <w:r>
          <w:rPr>
            <w:color w:val="0000EE"/>
            <w:u w:val="single"/>
          </w:rPr>
          <w:t>[3]</w:t>
        </w:r>
      </w:hyperlink>
      <w:r>
        <w:t xml:space="preserve">- Paragraph 11: </w:t>
      </w:r>
      <w:hyperlink r:id="rId9">
        <w:r>
          <w:rPr>
            <w:color w:val="0000EE"/>
            <w:u w:val="single"/>
          </w:rPr>
          <w:t>[3]</w:t>
        </w:r>
      </w:hyperlink>
      <w:r>
        <w:t xml:space="preserve">, </w:t>
      </w:r>
      <w:hyperlink r:id="rId12">
        <w:r>
          <w:rPr>
            <w:color w:val="0000EE"/>
            <w:u w:val="single"/>
          </w:rPr>
          <w:t>[7]</w:t>
        </w:r>
      </w:hyperlink>
      <w:r>
        <w:t xml:space="preserve">- Paragraph 12: </w:t>
      </w:r>
      <w:hyperlink r:id="rId9">
        <w:r>
          <w:rPr>
            <w:color w:val="0000EE"/>
            <w:u w:val="single"/>
          </w:rPr>
          <w:t>[3]</w:t>
        </w:r>
      </w:hyperlink>
      <w:r>
        <w:t xml:space="preserve">- Paragraph 13: </w:t>
      </w:r>
      <w:hyperlink r:id="rId9">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https://eldiario.com/2026/11/06/violencia-lgtbi-venezuela/</w:t>
        </w:r>
      </w:hyperlink>
      <w:r>
        <w:t xml:space="preserve"> - Please view link - unable to able to access data</w:t>
      </w:r>
      <w:r/>
    </w:p>
    <w:p>
      <w:pPr>
        <w:pStyle w:val="ListNumber"/>
        <w:spacing w:line="240" w:lineRule="auto"/>
        <w:ind w:left="720"/>
      </w:pPr>
      <w:r/>
      <w:hyperlink r:id="rId14">
        <w:r>
          <w:rPr>
            <w:color w:val="0000EE"/>
            <w:u w:val="single"/>
          </w:rPr>
          <w:t>https://eldiario.com/2026/11/06/violencia-lgtbi-venezuela/</w:t>
        </w:r>
      </w:hyperlink>
      <w:r>
        <w:t xml:space="preserve"> - The article reports that Venezuela’s Observatorio Venezolano de Violencias LGBTIQ+ documented at least 198 cases of violence against LGBTI people between January and September 2026. The figures, shared by the organisation’s general coordinator, Glorielys Pérez, include 150 discriminatory statements, 24 prejudice-based offences, 22 discriminatory incidents, one disappearance and one instance of violence between LGBTI people. Pérez describes persistent structural violence and vulnerability. The article gives examples of legal and practical discrimination, including barriers to blood donation, the lack of legal recognition of transgender people’s names and the absence of marriage rights for same-sex couples. It also recounts the May 2026 police raid on an LGBTI venue in Lara, during which 33 men were reportedly detained and extorted; the Public Prosecutor’s Office later announced an investigation and the detention of five officers. The observatory recorded two killings during the reporting period: a hairdresser in Sucre in May and a 23-year-old trans woman in Táchira in August. Other reported discrimination involved family rejection, exclusion from nightlife venues and employment, and harassment at school or work. The article also describes the organisation’s recommendations, including ending hate speech, investigating abuses by state actors, protecting civic space and incorporating gender and diversity perspectives into humanitarian responses. It notes that citizens protested in Caracas on 31 October to demand recognition of LGBTI rights.</w:t>
      </w:r>
      <w:r/>
    </w:p>
    <w:p>
      <w:pPr>
        <w:pStyle w:val="ListNumber"/>
        <w:spacing w:line="240" w:lineRule="auto"/>
        <w:ind w:left="720"/>
      </w:pPr>
      <w:r/>
      <w:hyperlink r:id="rId9">
        <w:r>
          <w:rPr>
            <w:color w:val="0000EE"/>
            <w:u w:val="single"/>
          </w:rPr>
          <w:t>https://www.infobae.com/america/agencias/2026/11/06/ong-documenta-198-casos-de-violencia-contra-personas-lgtbi-en-venezuela-en-nueve-meses/</w:t>
        </w:r>
      </w:hyperlink>
      <w:r>
        <w:t xml:space="preserve"> - This EFE report summarises the Venezuelan LGBTIQ+ violence observatory’s findings for January to September 2026: at least 198 cases of violence were recorded. It attributes the data to observatory coordinator Glorielys Pérez, who warns that LGBTI people continue to face high vulnerability and structural violence. The report describes the categories documented by the organisation and highlights restrictions and discrimination affecting the community, including barriers to blood donation, difficulties for transgender people whose legal identity does not match their names, and the lack of same-sex marriage rights. It recounts a police raid in May at an LGBTI entertainment venue in Lara, where 33 men were detained and reportedly extorted. After complaints, the Ministry announced an investigation and said five police officers had been detained. The report also notes that two people from the community were killed during the reporting period: a hairdresser in Sucre and a 23-year-old trans woman in Táchira. It discusses discriminatory treatment in families, nightlife venues, employment, schools and workplaces, as well as the observatory’s concerns about state officials, civic space and humanitarian policy. Its account broadly supports the article’s principal figures and reported incidents, while serving as a separate publication of the same EFE dispatch.</w:t>
      </w:r>
      <w:r/>
    </w:p>
    <w:p>
      <w:pPr>
        <w:pStyle w:val="ListNumber"/>
        <w:spacing w:line="240" w:lineRule="auto"/>
        <w:ind w:left="720"/>
      </w:pPr>
      <w:r/>
      <w:hyperlink r:id="rId13">
        <w:r>
          <w:rPr>
            <w:color w:val="0000EE"/>
            <w:u w:val="single"/>
          </w:rPr>
          <w:t>https://nomasdiscriminacion.org/</w:t>
        </w:r>
      </w:hyperlink>
      <w:r>
        <w:t xml:space="preserve"> - The Observatorio Venezolano de Violencias LGBTIQ+ describes itself as an independent organisation that documents, verifies and publishes cases of violence and discrimination based on sexual orientation, gender identity and gender expression in Venezuela. It says its work has been under way since October 2022 and that reports come from affected people, partner organisations, media monitoring and digital platforms. The site explains that information is published with the affected person’s consent, with care taken to avoid exposing them to additional risk. It provides routes to report cases and access support, and presents a searchable record of documented incidents. Its publication library includes an annual 2025–2026 balance covering discrimination and violence from January 2025 to September 2026, as well as earlier annual reports and thematic bulletins. The site’s consolidated figures describe the organisation’s broader monitoring and accompaniment work, rather than just the nine-month tally cited in the article. It also publishes testimonies, analysis, alerts and statements about issues affecting LGBTIQ people in Venezuela. This is a primary source for understanding how the observatory gathers and communicates evidence, and it contextualises the article’s attribution of the 198-case count to the organisation. The website further outlines its confidential reporting channels and psychosocial and legal assistance.</w:t>
      </w:r>
      <w:r/>
    </w:p>
    <w:p>
      <w:pPr>
        <w:pStyle w:val="ListNumber"/>
        <w:spacing w:line="240" w:lineRule="auto"/>
        <w:ind w:left="720"/>
      </w:pPr>
      <w:r/>
      <w:hyperlink r:id="rId10">
        <w:r>
          <w:rPr>
            <w:color w:val="0000EE"/>
            <w:u w:val="single"/>
          </w:rPr>
          <w:t>https://www.swissinfo.ch/spa/detenidos-cinco-polic%C3%ADas-tras-denuncia-de-allanamiento-y-extorsi%C3%B3n-en-local-gay-venezolano/91504347</w:t>
        </w:r>
      </w:hyperlink>
      <w:r>
        <w:t xml:space="preserve"> - This EFE-based report, published by SWI swissinfo.ch, covers the May 2026 raid on an LGBTI entertainment venue in Barquisimeto, Lara. It says non-governmental organisations reported an illegal search, extortion and the detention of at least 33 men. Venezuela’s Public Prosecutor’s Office announced an investigation, and five officers of the Bolivarian National Police were placed at its disposal. The report identifies the prosecutorial units assigned to examine the alleged raid and conduct described as contrary to public ethics. It also notes that the Ombudsman offered support and mediation to those affected and said it would follow up on the complaint. Activists and organisations said officers in civilian clothes accused those present of “exercising the crime of homosexuality”, according to victims’ accounts; the NGOs called for a prompt and thorough investigation. The article places the incident in a broader pattern, citing an activist’s claim that raids had occurred at several LGBTI venues since 2020. It also recalls the 2023 detention of 33 men in Carabobo and the Inter-American Commission on Human Rights’ concern about arbitrary action and abuses against LGBTI people. The report concludes by noting restrictions on transgender legal recognition and same-sex marriage in Venezuela.</w:t>
      </w:r>
      <w:r/>
    </w:p>
    <w:p>
      <w:pPr>
        <w:pStyle w:val="ListNumber"/>
        <w:spacing w:line="240" w:lineRule="auto"/>
        <w:ind w:left="720"/>
      </w:pPr>
      <w:r/>
      <w:hyperlink r:id="rId11">
        <w:r>
          <w:rPr>
            <w:color w:val="0000EE"/>
            <w:u w:val="single"/>
          </w:rPr>
          <w:t>https://desa.talcualdigital.com/arresto-de-los-33-en-lara-reabre-discusion-sobre-homofobia-policial/</w:t>
        </w:r>
      </w:hyperlink>
      <w:r>
        <w:t xml:space="preserve"> - TalCual examines the arrest of 33 men during a police operation at an LGBTI-frequented venue in Barquisimeto on 30 May 2026. Drawing on accounts from detainees, lawyers and activists, it reports allegations that officers entered without a judicial warrant, used homophobic insults and claimed that homosexuality itself was an offence. The article explains that consensual same-sex relations are not criminalised under Venezuela’s civil law, and argues that the operation had no legal basis. It describes claims that detainees’ phones and belongings were taken, that they were transported to police facilities, and that officers demanded money for their release, allegedly threatening to plant drugs if payments were not made. The report says the Public Prosecutor’s Office opened an investigation and that six officers were being processed at the time of publication, while the defence questioned why further alleged participants had not been detained and argued that extortion and hate crimes should be investigated. It also discusses the response of civil society groups and the Ombudsman, and contrasts the case with the 2023 detention of 33 men in Valencia. The article frames the incident as part of wider concerns about police abuse, institutional prejudice and impunity affecting LGBTI people in Venezuela.</w:t>
      </w:r>
      <w:r/>
    </w:p>
    <w:p>
      <w:pPr>
        <w:pStyle w:val="ListNumber"/>
        <w:spacing w:line="240" w:lineRule="auto"/>
        <w:ind w:left="720"/>
      </w:pPr>
      <w:r/>
      <w:hyperlink r:id="rId12">
        <w:r>
          <w:rPr>
            <w:color w:val="0000EE"/>
            <w:u w:val="single"/>
          </w:rPr>
          <w:t>https://outrightinternational.org/our-work/americas/venezuela</w:t>
        </w:r>
      </w:hyperlink>
      <w:r>
        <w:t xml:space="preserve"> - Outright International’s Venezuela country profile outlines the legal and social situation facing LGBTIQ people. It states that consensual same-sex relations are legal, while legal gender recognition is unavailable and national laws do not recognise same-sex partnerships or provide comprehensive protection against discrimination based on sexual orientation or gender identity. The profile describes systemic discrimination and restrictions on civic space, including pressure on organisations working for equality and human rights. It recalls the 2023 arbitrary detention of 33 men at the Avalon Club in Valencia, noting that the case drew national and international condemnation because of its homophobic context. The account presents this incident as part of a wider pattern of exclusion, violence and state stigma. It also describes the impact of Venezuela’s 2024 anti-NGO law, which it says expanded state powers to monitor, control or potentially close civil society organisations, increasing risks for human rights and LGBTIQ groups. The page offers a concise international advocacy perspective on the structural conditions referred to in the supplied article, particularly the lack of legal recognition for same-sex couples and transgender people. It also situates LGBTIQ rights within the country’s broader political and civic environment. The profile is a general country overview, rather than a source for the 198 incidents recorded in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fobae.com/america/agencias/2026/11/06/ong-documenta-198-casos-de-violencia-contra-personas-lgtbi-en-venezuela-en-nueve-meses/" TargetMode="External"/><Relationship Id="rId10" Type="http://schemas.openxmlformats.org/officeDocument/2006/relationships/hyperlink" Target="https://www.swissinfo.ch/spa/detenidos-cinco-polic%C3%ADas-tras-denuncia-de-allanamiento-y-extorsi%C3%B3n-en-local-gay-venezolano/91504347" TargetMode="External"/><Relationship Id="rId11" Type="http://schemas.openxmlformats.org/officeDocument/2006/relationships/hyperlink" Target="https://desa.talcualdigital.com/arresto-de-los-33-en-lara-reabre-discusion-sobre-homofobia-policial/" TargetMode="External"/><Relationship Id="rId12" Type="http://schemas.openxmlformats.org/officeDocument/2006/relationships/hyperlink" Target="https://outrightinternational.org/our-work/americas/venezuela" TargetMode="External"/><Relationship Id="rId13" Type="http://schemas.openxmlformats.org/officeDocument/2006/relationships/hyperlink" Target="https://nomasdiscriminacion.org/" TargetMode="External"/><Relationship Id="rId14" Type="http://schemas.openxmlformats.org/officeDocument/2006/relationships/hyperlink" Target="https://eldiario.com/2026/11/06/violencia-lgtbi-venezuel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