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Diego LGBT Community Centre Expands Services Amid Funding Pressures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From a crisis phone line answered in a closet to a major provider of LGBTQ+ support, the San Diego LGBT Community Center is widening its reach while facing funding uncertainty. Its growth in housing and other services shows how the organisation is trying to meet local needs without losing sight of the people who rely on it.</w:t>
      </w:r>
      <w:r/>
    </w:p>
    <w:p>
      <w:pPr>
        <w:pStyle w:val="Heading2"/>
      </w:pPr>
      <w:r>
        <w:t>Essential Takeaways</w:t>
      </w:r>
      <w:r/>
      <w:r/>
    </w:p>
    <w:p>
      <w:pPr>
        <w:pStyle w:val="ListBullet"/>
        <w:spacing w:line="240" w:lineRule="auto"/>
        <w:ind w:left="720"/>
      </w:pPr>
      <w:r/>
      <w:r>
        <w:rPr>
          <w:b/>
        </w:rPr>
        <w:t>A long history:</w:t>
      </w:r>
      <w:r>
        <w:t xml:space="preserve"> The Center began in 1972 and has grown into a substantial San Diego community organisation. </w:t>
      </w:r>
      <w:hyperlink r:id="rId9">
        <w:r>
          <w:rPr>
            <w:color w:val="0000EE"/>
            <w:u w:val="single"/>
          </w:rPr>
          <w:t>[2]</w:t>
        </w:r>
      </w:hyperlink>
      <w:r>
        <w:t xml:space="preserve">, </w:t>
      </w:r>
      <w:hyperlink r:id="rId10">
        <w:r>
          <w:rPr>
            <w:color w:val="0000EE"/>
            <w:u w:val="single"/>
          </w:rPr>
          <w:t>[5]</w:t>
        </w:r>
      </w:hyperlink>
      <w:r/>
    </w:p>
    <w:p>
      <w:pPr>
        <w:pStyle w:val="ListBullet"/>
        <w:spacing w:line="240" w:lineRule="auto"/>
        <w:ind w:left="720"/>
      </w:pPr>
      <w:r/>
      <w:r>
        <w:rPr>
          <w:b/>
        </w:rPr>
        <w:t>More housing support:</w:t>
      </w:r>
      <w:r>
        <w:t xml:space="preserve"> Its programmes include youth housing, homelessness prevention and services for older adults. </w:t>
      </w:r>
      <w:hyperlink r:id="rId11">
        <w:r>
          <w:rPr>
            <w:color w:val="0000EE"/>
            <w:u w:val="single"/>
          </w:rPr>
          <w:t>[6]</w:t>
        </w:r>
      </w:hyperlink>
      <w:r/>
    </w:p>
    <w:p>
      <w:pPr>
        <w:pStyle w:val="ListBullet"/>
        <w:spacing w:line="240" w:lineRule="auto"/>
        <w:ind w:left="720"/>
      </w:pPr>
      <w:r/>
      <w:r>
        <w:rPr>
          <w:b/>
        </w:rPr>
        <w:t>A larger youth shelter:</w:t>
      </w:r>
      <w:r>
        <w:t xml:space="preserve"> Safe STAY reopened in 2025 with 43 beds for young adults aged 18 to 24. </w:t>
      </w:r>
      <w:hyperlink r:id="rId11">
        <w:r>
          <w:rPr>
            <w:color w:val="0000EE"/>
            <w:u w:val="single"/>
          </w:rPr>
          <w:t>[6]</w:t>
        </w:r>
      </w:hyperlink>
      <w:r/>
    </w:p>
    <w:p>
      <w:pPr>
        <w:pStyle w:val="ListBullet"/>
        <w:spacing w:line="240" w:lineRule="auto"/>
        <w:ind w:left="720"/>
      </w:pPr>
      <w:r/>
      <w:r>
        <w:rPr>
          <w:b/>
        </w:rPr>
        <w:t>Funding remains uncertain:</w:t>
      </w:r>
      <w:r>
        <w:t xml:space="preserve"> The organisation says it is strengthening philanthropy and making use of existing resources to sustain services. </w:t>
      </w:r>
      <w:hyperlink r:id="rId12">
        <w:r>
          <w:rPr>
            <w:color w:val="0000EE"/>
            <w:u w:val="single"/>
          </w:rPr>
          <w:t>[4]</w:t>
        </w:r>
      </w:hyperlink>
      <w:r>
        <w:t xml:space="preserve">, </w:t>
      </w:r>
      <w:hyperlink r:id="rId10">
        <w:r>
          <w:rPr>
            <w:color w:val="0000EE"/>
            <w:u w:val="single"/>
          </w:rPr>
          <w:t>[5]</w:t>
        </w:r>
      </w:hyperlink>
      <w:r/>
      <w:r/>
    </w:p>
    <w:p>
      <w:pPr>
        <w:pStyle w:val="Heading2"/>
      </w:pPr>
      <w:r>
        <w:t>From a closet phone line to a major community hub</w:t>
      </w:r>
      <w:r/>
    </w:p>
    <w:p>
      <w:r/>
      <w:r>
        <w:t xml:space="preserve">A crisis line in a closet is a modest beginning for an organisation that now records more than 130,000 service visits in a year. The San Diego LGBT Community Center has spent decades growing from a small volunteer effort into a broad provider of support, advocacy and community programmes. </w:t>
      </w:r>
      <w:hyperlink r:id="rId9">
        <w:r>
          <w:rPr>
            <w:color w:val="0000EE"/>
            <w:u w:val="single"/>
          </w:rPr>
          <w:t>[2]</w:t>
        </w:r>
      </w:hyperlink>
      <w:r>
        <w:t xml:space="preserve">, </w:t>
      </w:r>
      <w:hyperlink r:id="rId12">
        <w:r>
          <w:rPr>
            <w:color w:val="0000EE"/>
            <w:u w:val="single"/>
          </w:rPr>
          <w:t>[4]</w:t>
        </w:r>
      </w:hyperlink>
      <w:r/>
    </w:p>
    <w:p>
      <w:r/>
      <w:r>
        <w:t xml:space="preserve">That expansion reflects the range of needs the Center serves, from health and wellbeing to housing and youth support. Its history is a reminder that community institutions often begin with something simple: a phone line, a willing volunteer and a place to gather. </w:t>
      </w:r>
      <w:hyperlink r:id="rId9">
        <w:r>
          <w:rPr>
            <w:color w:val="0000EE"/>
            <w:u w:val="single"/>
          </w:rPr>
          <w:t>[2]</w:t>
        </w:r>
      </w:hyperlink>
      <w:r>
        <w:t xml:space="preserve">, </w:t>
      </w:r>
      <w:hyperlink r:id="rId10">
        <w:r>
          <w:rPr>
            <w:color w:val="0000EE"/>
            <w:u w:val="single"/>
          </w:rPr>
          <w:t>[5]</w:t>
        </w:r>
      </w:hyperlink>
      <w:r/>
    </w:p>
    <w:p>
      <w:pPr>
        <w:pStyle w:val="Heading2"/>
      </w:pPr>
      <w:r>
        <w:t>Housing programmes have become a central priority</w:t>
      </w:r>
      <w:r/>
    </w:p>
    <w:p>
      <w:r/>
      <w:r>
        <w:t xml:space="preserve">The Center has built out its housing work to include support for young people, adults and older residents, alongside help aimed at preventing homelessness. Its programmes include Sunburst Youth Housing, which provides permanent supportive housing for young adults, and services at North Park Senior Apartments. </w:t>
      </w:r>
      <w:hyperlink r:id="rId11">
        <w:r>
          <w:rPr>
            <w:color w:val="0000EE"/>
            <w:u w:val="single"/>
          </w:rPr>
          <w:t>[6]</w:t>
        </w:r>
      </w:hyperlink>
      <w:r/>
    </w:p>
    <w:p>
      <w:r/>
      <w:r>
        <w:t xml:space="preserve">Safe STAY offers a particularly clear example of how a small initiative can grow. Launched in 2019 with four air beds in an underused gym, the programme reopened in April 2025 as a 43-bed wellness centre for people aged 18 to 24. </w:t>
      </w:r>
      <w:hyperlink r:id="rId11">
        <w:r>
          <w:rPr>
            <w:color w:val="0000EE"/>
            <w:u w:val="single"/>
          </w:rPr>
          <w:t>[6]</w:t>
        </w:r>
      </w:hyperlink>
      <w:r/>
    </w:p>
    <w:p>
      <w:r/>
      <w:r>
        <w:t xml:space="preserve">For anyone looking for support, the practical detail matters: the Center's housing services cover different ages and situations, so contacting the organisation directly is the best way to check current eligibility and availability. </w:t>
      </w:r>
      <w:hyperlink r:id="rId11">
        <w:r>
          <w:rPr>
            <w:color w:val="0000EE"/>
            <w:u w:val="single"/>
          </w:rPr>
          <w:t>[6]</w:t>
        </w:r>
      </w:hyperlink>
      <w:r/>
    </w:p>
    <w:p>
      <w:pPr>
        <w:pStyle w:val="Heading2"/>
      </w:pPr>
      <w:r>
        <w:t>Funding pressure is reshaping the way the Center works</w:t>
      </w:r>
      <w:r/>
    </w:p>
    <w:p>
      <w:r/>
      <w:r>
        <w:t xml:space="preserve">The organisation says it has had to respond to changing funding conditions while protecting essential services. Its approach includes seeking more philanthropic and major-donor support, renting out rooms and charging some insured or higher-income behavioural health patients, while keeping care free for people who are uninsured or underinsured. </w:t>
      </w:r>
      <w:hyperlink r:id="rId12">
        <w:r>
          <w:rPr>
            <w:color w:val="0000EE"/>
            <w:u w:val="single"/>
          </w:rPr>
          <w:t>[4]</w:t>
        </w:r>
      </w:hyperlink>
      <w:r>
        <w:t xml:space="preserve">, </w:t>
      </w:r>
      <w:hyperlink r:id="rId10">
        <w:r>
          <w:rPr>
            <w:color w:val="0000EE"/>
            <w:u w:val="single"/>
          </w:rPr>
          <w:t>[5]</w:t>
        </w:r>
      </w:hyperlink>
      <w:r/>
    </w:p>
    <w:p>
      <w:r/>
      <w:r>
        <w:t xml:space="preserve">That mix of measures speaks to a wider challenge for nonprofits: keeping services accessible while finding enough reliable income to run them. The Center's reported annual figures and service growth offer a snapshot of its scale, but they don't remove the day-to-day need to plan carefully. </w:t>
      </w:r>
      <w:hyperlink r:id="rId12">
        <w:r>
          <w:rPr>
            <w:color w:val="0000EE"/>
            <w:u w:val="single"/>
          </w:rPr>
          <w:t>[4]</w:t>
        </w:r>
      </w:hyperlink>
      <w:r/>
    </w:p>
    <w:p>
      <w:pPr>
        <w:pStyle w:val="Heading2"/>
      </w:pPr>
      <w:r>
        <w:t>Growth without losing the community focus</w:t>
      </w:r>
      <w:r/>
    </w:p>
    <w:p>
      <w:r/>
      <w:r>
        <w:t xml:space="preserve">The Center's work sits across social services, advocacy and community engagement, rather than being limited to one programme or age group. That breadth helps explain why its growth is measured not only in buildings or beds, but also in the number and variety of people it can support. </w:t>
      </w:r>
      <w:hyperlink r:id="rId10">
        <w:r>
          <w:rPr>
            <w:color w:val="0000EE"/>
            <w:u w:val="single"/>
          </w:rPr>
          <w:t>[5]</w:t>
        </w:r>
      </w:hyperlink>
      <w:r>
        <w:t xml:space="preserve">, </w:t>
      </w:r>
      <w:hyperlink r:id="rId11">
        <w:r>
          <w:rPr>
            <w:color w:val="0000EE"/>
            <w:u w:val="single"/>
          </w:rPr>
          <w:t>[6]</w:t>
        </w:r>
      </w:hyperlink>
      <w:r/>
    </w:p>
    <w:p>
      <w:r/>
      <w:r>
        <w:t xml:space="preserve">For now, the emphasis is on using existing capacity effectively rather than launching construction projects. It's a sensible, if less visible, kind of progress: making current services work harder while building the support needed for what comes next. </w:t>
      </w:r>
      <w:hyperlink r:id="rId12">
        <w:r>
          <w:rPr>
            <w:color w:val="0000EE"/>
            <w:u w:val="single"/>
          </w:rPr>
          <w:t>[4]</w:t>
        </w:r>
      </w:hyperlink>
      <w:r>
        <w:t xml:space="preserve">, </w:t>
      </w:r>
      <w:hyperlink r:id="rId10">
        <w:r>
          <w:rPr>
            <w:color w:val="0000EE"/>
            <w:u w:val="single"/>
          </w:rPr>
          <w:t>[5]</w:t>
        </w:r>
      </w:hyperlink>
      <w:r/>
    </w:p>
    <w:p>
      <w:r/>
      <w:r>
        <w:t xml:space="preserve">The Center's story is ultimately one of steady adaptation, from a closet phone line to a much wider network of help. </w:t>
      </w:r>
      <w:hyperlink r:id="rId9">
        <w:r>
          <w:rPr>
            <w:color w:val="0000EE"/>
            <w:u w:val="single"/>
          </w:rPr>
          <w:t>[2]</w:t>
        </w:r>
      </w:hyperlink>
      <w:r>
        <w:t xml:space="preserve">, </w:t>
      </w:r>
      <w:hyperlink r:id="rId12">
        <w:r>
          <w:rPr>
            <w:color w:val="0000EE"/>
            <w:u w:val="single"/>
          </w:rPr>
          <w:t>[4]</w:t>
        </w:r>
      </w:hyperlink>
      <w:r/>
    </w:p>
    <w:p>
      <w:pPr>
        <w:pStyle w:val="Heading2"/>
      </w:pPr>
      <w:r>
        <w:t>A resource built for changing needs</w:t>
      </w:r>
      <w:r/>
    </w:p>
    <w:p>
      <w:r/>
      <w:r>
        <w:t xml:space="preserve">The organisation's history and current programmes show how community support can evolve as needs change. For San Diego residents seeking assistance, its housing and wellbeing services are a useful place to start exploring what help may be available. </w:t>
      </w:r>
      <w:hyperlink r:id="rId9">
        <w:r>
          <w:rPr>
            <w:color w:val="0000EE"/>
            <w:u w:val="single"/>
          </w:rPr>
          <w:t>[2]</w:t>
        </w:r>
      </w:hyperlink>
      <w:r>
        <w:t xml:space="preserve">, </w:t>
      </w:r>
      <w:hyperlink r:id="rId11">
        <w:r>
          <w:rPr>
            <w:color w:val="0000EE"/>
            <w:u w:val="single"/>
          </w:rPr>
          <w:t>[6]</w:t>
        </w:r>
      </w:hyperlink>
      <w:r/>
    </w:p>
    <w:p>
      <w:r/>
      <w:r>
        <w:t xml:space="preserve">It's a small beginning that has grown into a meaningful source of support for many people. </w:t>
      </w:r>
      <w:hyperlink r:id="rId9">
        <w:r>
          <w:rPr>
            <w:color w:val="0000EE"/>
            <w:u w:val="single"/>
          </w:rPr>
          <w:t>[2]</w:t>
        </w:r>
      </w:hyperlink>
      <w:r>
        <w:t xml:space="preserve">, </w:t>
      </w:r>
      <w:hyperlink r:id="rId10">
        <w:r>
          <w:rPr>
            <w:color w:val="0000EE"/>
            <w:u w:val="single"/>
          </w:rPr>
          <w:t>[5]</w:t>
        </w:r>
      </w:hyperlink>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11">
        <w:r>
          <w:rPr>
            <w:color w:val="0000EE"/>
            <w:u w:val="single"/>
          </w:rPr>
          <w:t>[6]</w:t>
        </w:r>
      </w:hyperlink>
      <w:r>
        <w:t xml:space="preserve">- Paragraph 4: </w:t>
      </w:r>
      <w:hyperlink r:id="rId11">
        <w:r>
          <w:rPr>
            <w:color w:val="0000EE"/>
            <w:u w:val="single"/>
          </w:rPr>
          <w:t>[6]</w:t>
        </w:r>
      </w:hyperlink>
      <w:r>
        <w:t xml:space="preserve">- Paragraph 5: </w:t>
      </w:r>
      <w:hyperlink r:id="rId11">
        <w:r>
          <w:rPr>
            <w:color w:val="0000EE"/>
            <w:u w:val="single"/>
          </w:rPr>
          <w:t>[6]</w:t>
        </w:r>
      </w:hyperlink>
      <w:r>
        <w:t xml:space="preserve">- Paragraph 6: </w:t>
      </w:r>
      <w:hyperlink r:id="rId12">
        <w:r>
          <w:rPr>
            <w:color w:val="0000EE"/>
            <w:u w:val="single"/>
          </w:rPr>
          <w:t>[4]</w:t>
        </w:r>
      </w:hyperlink>
      <w:r>
        <w:t xml:space="preserve">, </w:t>
      </w:r>
      <w:hyperlink r:id="rId10">
        <w:r>
          <w:rPr>
            <w:color w:val="0000EE"/>
            <w:u w:val="single"/>
          </w:rPr>
          <w:t>[5]</w:t>
        </w:r>
      </w:hyperlink>
      <w:r>
        <w:t xml:space="preserve">- Paragraph 7: </w:t>
      </w:r>
      <w:hyperlink r:id="rId12">
        <w:r>
          <w:rPr>
            <w:color w:val="0000EE"/>
            <w:u w:val="single"/>
          </w:rPr>
          <w:t>[4]</w:t>
        </w:r>
      </w:hyperlink>
      <w:r>
        <w:t xml:space="preserve">- Paragraph 8: </w:t>
      </w:r>
      <w:hyperlink r:id="rId10">
        <w:r>
          <w:rPr>
            <w:color w:val="0000EE"/>
            <w:u w:val="single"/>
          </w:rPr>
          <w:t>[5]</w:t>
        </w:r>
      </w:hyperlink>
      <w:r>
        <w:t xml:space="preserve">, </w:t>
      </w:r>
      <w:hyperlink r:id="rId11">
        <w:r>
          <w:rPr>
            <w:color w:val="0000EE"/>
            <w:u w:val="single"/>
          </w:rPr>
          <w:t>[6]</w:t>
        </w:r>
      </w:hyperlink>
      <w:r>
        <w:t xml:space="preserve">- Paragraph 9: </w:t>
      </w:r>
      <w:hyperlink r:id="rId12">
        <w:r>
          <w:rPr>
            <w:color w:val="0000EE"/>
            <w:u w:val="single"/>
          </w:rPr>
          <w:t>[4]</w:t>
        </w:r>
      </w:hyperlink>
      <w:r>
        <w:t xml:space="preserve">, </w:t>
      </w:r>
      <w:hyperlink r:id="rId10">
        <w:r>
          <w:rPr>
            <w:color w:val="0000EE"/>
            <w:u w:val="single"/>
          </w:rPr>
          <w:t>[5]</w:t>
        </w:r>
      </w:hyperlink>
      <w:r>
        <w:t xml:space="preserve">- Paragraph 10: </w:t>
      </w:r>
      <w:hyperlink r:id="rId9">
        <w:r>
          <w:rPr>
            <w:color w:val="0000EE"/>
            <w:u w:val="single"/>
          </w:rPr>
          <w:t>[2]</w:t>
        </w:r>
      </w:hyperlink>
      <w:r>
        <w:t xml:space="preserve">, </w:t>
      </w:r>
      <w:hyperlink r:id="rId12">
        <w:r>
          <w:rPr>
            <w:color w:val="0000EE"/>
            <w:u w:val="single"/>
          </w:rPr>
          <w:t>[4]</w:t>
        </w:r>
      </w:hyperlink>
      <w:r>
        <w:t xml:space="preserve">- Paragraph 11: </w:t>
      </w:r>
      <w:hyperlink r:id="rId9">
        <w:r>
          <w:rPr>
            <w:color w:val="0000EE"/>
            <w:u w:val="single"/>
          </w:rPr>
          <w:t>[2]</w:t>
        </w:r>
      </w:hyperlink>
      <w:r>
        <w:t xml:space="preserve">, </w:t>
      </w:r>
      <w:hyperlink r:id="rId11">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https://sdbj.com/nonprofits/lgbt-center-defies-funding-challenges-expands-reach/?utm_source=rss&amp;utm_medium=rss&amp;utm_campaign=lgbt-center-defies-funding-challenges-expands-reach</w:t>
        </w:r>
      </w:hyperlink>
      <w:r>
        <w:t xml:space="preserve"> - Please view link - unable to able to access data</w:t>
      </w:r>
      <w:r/>
    </w:p>
    <w:p>
      <w:pPr>
        <w:pStyle w:val="ListNumber"/>
        <w:spacing w:line="240" w:lineRule="auto"/>
        <w:ind w:left="720"/>
      </w:pPr>
      <w:r/>
      <w:hyperlink r:id="rId9">
        <w:r>
          <w:rPr>
            <w:color w:val="0000EE"/>
            <w:u w:val="single"/>
          </w:rPr>
          <w:t>https://thecentersd.org/history/</w:t>
        </w:r>
      </w:hyperlink>
      <w:r>
        <w:t xml:space="preserve"> - The San Diego LGBT Community Center’s official history traces its beginnings to 1971, when Jess Jessop set up an answering machine in a borrowed closet as a lifeline for people seeking support. The Center’s planning committee formed in 1972, and the organisation describes itself today as one of the largest and most vibrant LGBTQ community centres in the United States. Its timeline records milestones in its development, programmes and partnerships, including the 2025 opening of an expanded Safe STAY Wellness Center with 43 emergency beds for LGBTQ+ transitional-age youth experiencing homelessness. The page also describes recent regional advocacy work and community initiatives. This history supports the article’s account of the Center’s early hotline origins, its founding period and its later growth. It independently confirms the 43-bed Safe STAY expansion and places it within the organisation’s longer history of responding to community needs. The timeline is maintained by the Center itself, so it is a primary source for its own history and programmes. It does not independently verify every historical comparison in the article, such as the claim that the San Diego organisation was the nation’s second LGBT centre; the page is most useful for confirming the closet-origin story, the Center’s own milestones and its current institutional identity.</w:t>
      </w:r>
      <w:r/>
    </w:p>
    <w:p>
      <w:pPr>
        <w:pStyle w:val="ListNumber"/>
        <w:spacing w:line="240" w:lineRule="auto"/>
        <w:ind w:left="720"/>
      </w:pPr>
      <w:r/>
      <w:hyperlink r:id="rId14">
        <w:r>
          <w:rPr>
            <w:color w:val="0000EE"/>
            <w:u w:val="single"/>
          </w:rPr>
          <w:t>https://www.sandiego.gov/sites/default/files/2025-02/lgbtq_2016.pdf</w:t>
        </w:r>
      </w:hyperlink>
      <w:r>
        <w:t xml:space="preserve"> - The City of San Diego’s LGBTQ historic context statement documents the early history of community organisations and services in the region. It says that Jess Jessop created an answering-machine hotline in a closet in his home in 1971, a project that led to the Center for Social Services. It records that community organisers met on 3 October 1972 to plan an LGBTQ social-services centre and that the Center opened in October 1973 in a house on B Street, with Jessop as its first executive director. The report places this development within a wider history of LGBTQ organising, support networks and activism in San Diego. As a municipal historical document, it offers a useful independent source for checking the article’s account of the Center’s beginnings, rather than relying only on the organisation’s own recollections. It supports the key details that the early service began informally, that planning took place in 1972 and that a physical centre followed in 1973. The document also traces later moves and the expansion of programmes, illustrating how an initial community response developed into a long-running local institution. Its historical account does not substantiate the article’s more recent service-visit figures or funding claims.</w:t>
      </w:r>
      <w:r/>
    </w:p>
    <w:p>
      <w:pPr>
        <w:pStyle w:val="ListNumber"/>
        <w:spacing w:line="240" w:lineRule="auto"/>
        <w:ind w:left="720"/>
      </w:pPr>
      <w:r/>
      <w:hyperlink r:id="rId12">
        <w:r>
          <w:rPr>
            <w:color w:val="0000EE"/>
            <w:u w:val="single"/>
          </w:rPr>
          <w:t>https://thecentersd.org/wp-content/uploads/2026/01/FY2025-Annual-Report.pdf</w:t>
        </w:r>
      </w:hyperlink>
      <w:r>
        <w:t xml:space="preserve"> - The Center’s FY2025 Annual Impact Report presents the organisation’s work and results for the financial year ending in June 2025. It describes the opening of the expanded Safe STAY Wellness Center, which provides 43 emergency beds for LGBTQ+ young people aged 18 to 24 who are experiencing homelessness. The report says the programme began in 2019 with four beds and now offers safety, meals, showers, laundry, mental-health support, educational and employment assistance, housing navigation and both shared and non-congregate spaces. It also credits collaboration with youth-service organisations and the San Diego Housing Commission, alongside donor support. The report documents advocacy wins linked to housing, including city and county budget allocations for Safe STAY and Adult Housing Services. These details support the article’s description of the shelter’s development, its expanded capacity and the Center’s efforts to sustain services through partnerships and advocacy. The document also provides organisational context about staff, volunteers, programmes and service activity during FY2025. It is a first-party annual report, so its figures and programme descriptions are direct statements from the nonprofit. It covers FY2025 and therefore should not be treated as independent confirmation of the article’s later FY2026 service-visit figure.</w:t>
      </w:r>
      <w:r/>
    </w:p>
    <w:p>
      <w:pPr>
        <w:pStyle w:val="ListNumber"/>
        <w:spacing w:line="240" w:lineRule="auto"/>
        <w:ind w:left="720"/>
      </w:pPr>
      <w:r/>
      <w:hyperlink r:id="rId10">
        <w:r>
          <w:rPr>
            <w:color w:val="0000EE"/>
            <w:u w:val="single"/>
          </w:rPr>
          <w:t>https://thecentersd.org/about/</w:t>
        </w:r>
      </w:hyperlink>
      <w:r>
        <w:t xml:space="preserve"> - The Center’s “Who We Are” page outlines its role as a San Diego LGBTQ+ community organisation and describes the range of housing services it provides. The page says that the Center’s housing resources have developed from a single youth-housing programme into a broader continuum of support. Listed services include Sunburst Youth Housing, Karibu permanent supportive housing, Safe STAY emergency shelter, family reunification, rental assistance, homelessness prevention and diversion, Project Compassion, and Adult Housing Services. It also describes support connected with North Park Senior Apartments, delivered in partnership with Community Housing Works. The programmes serve people with differing needs, including young people, adults, seniors, people living with HIV, and transgender and nonbinary community members. This source supports the article’s account of the Center’s housing portfolio and its focus on services alongside advocacy and community wellbeing. It is particularly useful for checking the names and general purposes of programmes mentioned in the article. Because it is an organisational profile, it is a primary source for the Center’s service descriptions, though not an independent evaluation of outcomes. The page does not confirm the article’s claim that the number of housing programmes grew from two to eight between 2019 and 2024, but it documents the present-day breadth of the housing continuum.</w:t>
      </w:r>
      <w:r/>
    </w:p>
    <w:p>
      <w:pPr>
        <w:pStyle w:val="ListNumber"/>
        <w:spacing w:line="240" w:lineRule="auto"/>
        <w:ind w:left="720"/>
      </w:pPr>
      <w:r/>
      <w:hyperlink r:id="rId11">
        <w:r>
          <w:rPr>
            <w:color w:val="0000EE"/>
            <w:u w:val="single"/>
          </w:rPr>
          <w:t>https://thecentersd.org/housing-services/</w:t>
        </w:r>
      </w:hyperlink>
      <w:r>
        <w:t xml:space="preserve"> - This official housing-services page gives practical descriptions of several programmes operated by The San Diego LGBT Community Center. Sunburst Youth Housing is described as supportive accommodation for homeless young people aged 18 to 24, with case management and connections to healthcare, mental-health support, benefits, HIV testing, education and employment services. Karibu provides scattered-site permanent supportive housing for adults aged 18 and over, alongside case management and other support. Safe STAY offers up to 43 semi-congregate beds for unhoused people aged 18 to 24 in San Diego, with meals, peer support, showers, laundry, referrals and help connecting to longer-term housing. The page also presents the Center’s housing work as a mix of emergency, transitional and permanent support, rather than a single shelter service. These details substantiate the article’s descriptions of Safe STAY, Sunburst and Karibu, including the ages served and the types of assistance available. The information is published by the service provider and is therefore a direct source for programme details. It does not independently validate the article’s reported totals for service visits, employees, volunteers or revenue, nor does it establish how the programme portfolio changed year by year.</w:t>
      </w:r>
      <w:r/>
    </w:p>
    <w:p>
      <w:pPr>
        <w:pStyle w:val="ListNumber"/>
        <w:spacing w:line="240" w:lineRule="auto"/>
        <w:ind w:left="720"/>
      </w:pPr>
      <w:r/>
      <w:hyperlink r:id="rId15">
        <w:r>
          <w:rPr>
            <w:color w:val="0000EE"/>
            <w:u w:val="single"/>
          </w:rPr>
          <w:t>https://content.govdelivery.com/accounts/CASAND/bulletins/4047a0c</w:t>
        </w:r>
      </w:hyperlink>
      <w:r>
        <w:t xml:space="preserve"> - In a public information notice dated 14 January 2026, San Diego County’s Behavioral Health Services department discusses the effects of federal Substance Abuse and Mental Health Services Administration grant terminations. It reports that termination letters were issued for grants supporting mental-health and addiction services and estimates that more than 2,000 grants, worth up to $2 billion, could be cancelled. The notice says the cuts primarily affect nonprofit organisations providing direct services to people experiencing addiction, homelessness and mental illness. It also refers to earlier grant terminations in March 2025 and legal action that temporarily halted those terminations. This county communication provides wider local context for the funding uncertainty described in the article: nonprofits delivering behavioural-health and housing-related services faced a changing federal funding environment. It is an official local-government source, but it does not specifically confirm the article’s claim that The San Diego LGBT Community Center lost more than $1 million in SAMHSA funding, or the details of that organisation’s grant cancellation and non-renewal. Its value is in corroborating the broader pattern of grant disruption and the potential effects on community-based providers. Readers should distinguish this countywide context from claims about the Center’s individual grants, which require organisation-specific evidence.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centersd.org/history/" TargetMode="External"/><Relationship Id="rId10" Type="http://schemas.openxmlformats.org/officeDocument/2006/relationships/hyperlink" Target="https://thecentersd.org/about/" TargetMode="External"/><Relationship Id="rId11" Type="http://schemas.openxmlformats.org/officeDocument/2006/relationships/hyperlink" Target="https://thecentersd.org/housing-services/" TargetMode="External"/><Relationship Id="rId12" Type="http://schemas.openxmlformats.org/officeDocument/2006/relationships/hyperlink" Target="https://thecentersd.org/wp-content/uploads/2026/01/FY2025-Annual-Report.pdf" TargetMode="External"/><Relationship Id="rId13" Type="http://schemas.openxmlformats.org/officeDocument/2006/relationships/hyperlink" Target="https://sdbj.com/nonprofits/lgbt-center-defies-funding-challenges-expands-reach/?utm_source=rss&amp;utm_medium=rss&amp;utm_campaign=lgbt-center-defies-funding-challenges-expands-reach" TargetMode="External"/><Relationship Id="rId14" Type="http://schemas.openxmlformats.org/officeDocument/2006/relationships/hyperlink" Target="https://www.sandiego.gov/sites/default/files/2025-02/lgbtq_2016.pdf" TargetMode="External"/><Relationship Id="rId15" Type="http://schemas.openxmlformats.org/officeDocument/2006/relationships/hyperlink" Target="https://content.govdelivery.com/accounts/CASAND/bulletins/4047a0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