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Ohio LGBTQ+ Health: Why Amy Acton’s Transition Team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Ohio’s next governor will inherit stubborn gaps in HIV prevention and LGBTQ+ healthcare. Advocates are urging Dr. Amy Acton to include people living with HIV and LGBTQ+ health and civil-rights specialists on her transition team, arguing that lived experience belongs at the table from the start. The stakes reach well beyond appointments: they touch access, trust and whether people feel safe seeking care.</w:t>
      </w:r>
      <w:r/>
    </w:p>
    <w:p>
      <w:pPr>
        <w:pStyle w:val="Heading2"/>
      </w:pPr>
      <w:r>
        <w:t>Ohio’s HIV response has room to improve</w:t>
      </w:r>
      <w:r/>
    </w:p>
    <w:p>
      <w:r/>
      <w:r>
        <w:t xml:space="preserve">About 28,500 Ohioans are living with HIV, and prevention and treatment gaps remain. The CDC’s Ohio data show that in 2022, 67.5 per cent of people diagnosed with HIV were virally suppressed, while an estimated 14.8 per cent of people living with HIV didn’t know their status. Those figures point to practical priorities: more testing, prevention and sustained access to treatment. </w:t>
      </w:r>
      <w:hyperlink r:id="rId9">
        <w:r>
          <w:rPr>
            <w:color w:val="0000EE"/>
            <w:u w:val="single"/>
          </w:rPr>
          <w:t>[3]</w:t>
        </w:r>
      </w:hyperlink>
      <w:r>
        <w:t xml:space="preserve"> </w:t>
      </w:r>
      <w:hyperlink r:id="rId10">
        <w:r>
          <w:rPr>
            <w:color w:val="0000EE"/>
            <w:u w:val="single"/>
          </w:rPr>
          <w:t>[4]</w:t>
        </w:r>
      </w:hyperlink>
      <w:r/>
    </w:p>
    <w:p>
      <w:r/>
      <w:r>
        <w:t xml:space="preserve">The letter to Acton calls for expanded access to HIV testing, PrEP, harm-reduction services and supportive care. Community health centres are also central to that effort, particularly for people who face barriers to mainstream services. The aim isn’t only to prevent new infections; it’s to help people living with HIV stay well. </w:t>
      </w:r>
      <w:hyperlink r:id="rId11">
        <w:r>
          <w:rPr>
            <w:color w:val="0000EE"/>
            <w:u w:val="single"/>
          </w:rPr>
          <w:t>[2]</w:t>
        </w:r>
      </w:hyperlink>
      <w:r>
        <w:t xml:space="preserve"> </w:t>
      </w:r>
      <w:hyperlink r:id="rId9">
        <w:r>
          <w:rPr>
            <w:color w:val="0000EE"/>
            <w:u w:val="single"/>
          </w:rPr>
          <w:t>[3]</w:t>
        </w:r>
      </w:hyperlink>
      <w:r>
        <w:t xml:space="preserve"> </w:t>
      </w:r>
      <w:hyperlink r:id="rId12">
        <w:r>
          <w:rPr>
            <w:color w:val="0000EE"/>
            <w:u w:val="single"/>
          </w:rPr>
          <w:t>[5]</w:t>
        </w:r>
      </w:hyperlink>
      <w:r/>
    </w:p>
    <w:p>
      <w:pPr>
        <w:pStyle w:val="Heading2"/>
      </w:pPr>
      <w:r>
        <w:t>Healthcare needs to feel safe, not daunting</w:t>
      </w:r>
      <w:r/>
    </w:p>
    <w:p>
      <w:r/>
      <w:r>
        <w:t xml:space="preserve">LGBTQ+ people can face discrimination, stigma, cost pressures and a shortage of providers they trust. KFF research highlights how discrimination can shape people’s experience of healthcare, while Ohio-focused research documents stigma and discrimination affecting LGBTQ+ residents. For patients, the impact can be painfully straightforward: if a clinic feels unsafe, getting care may become harder. </w:t>
      </w:r>
      <w:hyperlink r:id="rId13">
        <w:r>
          <w:rPr>
            <w:color w:val="0000EE"/>
            <w:u w:val="single"/>
          </w:rPr>
          <w:t>[6]</w:t>
        </w:r>
      </w:hyperlink>
      <w:r>
        <w:t xml:space="preserve"> </w:t>
      </w:r>
      <w:hyperlink r:id="rId14">
        <w:r>
          <w:rPr>
            <w:color w:val="0000EE"/>
            <w:u w:val="single"/>
          </w:rPr>
          <w:t>[8]</w:t>
        </w:r>
      </w:hyperlink>
      <w:r/>
    </w:p>
    <w:p>
      <w:r/>
      <w:r>
        <w:t xml:space="preserve">These challenges don’t sit neatly in separate boxes. Housing instability, economic insecurity, violence and mental-health needs can all affect a person’s ability to find and maintain healthcare. Ohio’s provider guidance on cultural competency offers one resource for better-informed care, but advocates say broader, coordinated policy attention is needed too. </w:t>
      </w:r>
      <w:hyperlink r:id="rId15">
        <w:r>
          <w:rPr>
            <w:color w:val="0000EE"/>
            <w:u w:val="single"/>
          </w:rPr>
          <w:t>[7]</w:t>
        </w:r>
      </w:hyperlink>
      <w:r>
        <w:t xml:space="preserve"> </w:t>
      </w:r>
      <w:hyperlink r:id="rId14">
        <w:r>
          <w:rPr>
            <w:color w:val="0000EE"/>
            <w:u w:val="single"/>
          </w:rPr>
          <w:t>[8]</w:t>
        </w:r>
      </w:hyperlink>
      <w:r/>
    </w:p>
    <w:p>
      <w:pPr>
        <w:pStyle w:val="Heading2"/>
      </w:pPr>
      <w:r>
        <w:t>Why representation on the transition team matters</w:t>
      </w:r>
      <w:r/>
    </w:p>
    <w:p>
      <w:r/>
      <w:r>
        <w:t xml:space="preserve">The central request is simple: include LGBTQ+ policy and public-health experts, including people living with HIV, in the group preparing the incoming administration. Their presence could help officials understand how decisions land in real life, not just on paper. That perspective matters when agencies are planning responses to complex health and civil-rights concerns. </w:t>
      </w:r>
      <w:hyperlink r:id="rId11">
        <w:r>
          <w:rPr>
            <w:color w:val="0000EE"/>
            <w:u w:val="single"/>
          </w:rPr>
          <w:t>[2]</w:t>
        </w:r>
      </w:hyperlink>
      <w:r>
        <w:t xml:space="preserve"> </w:t>
      </w:r>
      <w:hyperlink r:id="rId15">
        <w:r>
          <w:rPr>
            <w:color w:val="0000EE"/>
            <w:u w:val="single"/>
          </w:rPr>
          <w:t>[7]</w:t>
        </w:r>
      </w:hyperlink>
      <w:r/>
    </w:p>
    <w:p>
      <w:r/>
      <w:r>
        <w:t xml:space="preserve">The letter argues that affected communities should help shape policy, rather than appear only as its subject. It frames meaningful representation as a way to ground decisions in evidence and community experience. It’s a reasonable distinction: consultation is useful, but a seat at the table gives people a chance to influence priorities as they take shape. </w:t>
      </w:r>
      <w:hyperlink r:id="rId11">
        <w:r>
          <w:rPr>
            <w:color w:val="0000EE"/>
            <w:u w:val="single"/>
          </w:rPr>
          <w:t>[2]</w:t>
        </w:r>
      </w:hyperlink>
      <w:r>
        <w:t xml:space="preserve"> </w:t>
      </w:r>
      <w:hyperlink r:id="rId14">
        <w:r>
          <w:rPr>
            <w:color w:val="0000EE"/>
            <w:u w:val="single"/>
          </w:rPr>
          <w:t>[8]</w:t>
        </w:r>
      </w:hyperlink>
      <w:r/>
    </w:p>
    <w:p>
      <w:pPr>
        <w:pStyle w:val="Heading2"/>
      </w:pPr>
      <w:r>
        <w:t>What Ohio’s next governor can prioritise</w:t>
      </w:r>
      <w:r/>
    </w:p>
    <w:p>
      <w:r/>
      <w:r>
        <w:t xml:space="preserve">For HIV services, the practical agenda includes testing, PrEP, treatment access and support delivered through community-based providers. Ohio’s HIV information portal and CDC materials offer a snapshot of the state’s response and the needs it must address. Keeping those services accessible is especially important for people who might otherwise be overlooked. </w:t>
      </w:r>
      <w:hyperlink r:id="rId9">
        <w:r>
          <w:rPr>
            <w:color w:val="0000EE"/>
            <w:u w:val="single"/>
          </w:rPr>
          <w:t>[3]</w:t>
        </w:r>
      </w:hyperlink>
      <w:r>
        <w:t xml:space="preserve"> </w:t>
      </w:r>
      <w:hyperlink r:id="rId12">
        <w:r>
          <w:rPr>
            <w:color w:val="0000EE"/>
            <w:u w:val="single"/>
          </w:rPr>
          <w:t>[5]</w:t>
        </w:r>
      </w:hyperlink>
      <w:r/>
    </w:p>
    <w:p>
      <w:r/>
      <w:r>
        <w:t xml:space="preserve">For LGBTQ+ health, the next steps include tackling discrimination and improving the quality and accessibility of care. Provider training can help, but it can’t substitute for policy that recognises the wider pressures shaping health. A transition team with relevant expertise could help connect those concerns across agencies. </w:t>
      </w:r>
      <w:hyperlink r:id="rId13">
        <w:r>
          <w:rPr>
            <w:color w:val="0000EE"/>
            <w:u w:val="single"/>
          </w:rPr>
          <w:t>[6]</w:t>
        </w:r>
      </w:hyperlink>
      <w:r>
        <w:t xml:space="preserve"> </w:t>
      </w:r>
      <w:hyperlink r:id="rId15">
        <w:r>
          <w:rPr>
            <w:color w:val="0000EE"/>
            <w:u w:val="single"/>
          </w:rPr>
          <w:t>[7]</w:t>
        </w:r>
      </w:hyperlink>
      <w:r/>
    </w:p>
    <w:p>
      <w:pPr>
        <w:pStyle w:val="Heading2"/>
      </w:pPr>
      <w:r>
        <w:t>A chance to set a more inclusive direction</w:t>
      </w:r>
      <w:r/>
    </w:p>
    <w:p>
      <w:r/>
      <w:r>
        <w:t xml:space="preserve">The appeal to Acton is ultimately about how Ohio chooses to govern: whether people most affected by health and civil-rights decisions help guide them from the outset. The letter presents the transition as an opportunity to build a more equitable approach, with community voices involved early rather than invited in as an afterthought. </w:t>
      </w:r>
      <w:hyperlink r:id="rId11">
        <w:r>
          <w:rPr>
            <w:color w:val="0000EE"/>
            <w:u w:val="single"/>
          </w:rPr>
          <w:t>[2]</w:t>
        </w:r>
      </w:hyperlink>
      <w:r>
        <w:t xml:space="preserve"> </w:t>
      </w:r>
      <w:hyperlink r:id="rId14">
        <w:r>
          <w:rPr>
            <w:color w:val="0000EE"/>
            <w:u w:val="single"/>
          </w:rPr>
          <w:t>[8]</w:t>
        </w:r>
      </w:hyperlink>
      <w:r/>
    </w:p>
    <w:p>
      <w:r/>
      <w:r>
        <w:t xml:space="preserve">That work will take more than appointments, of course. But the people around the table can influence which problems get attention, what evidence is considered and whose experience counts. For Ohioans seeking care, that can make a meaningful difference. </w:t>
      </w:r>
      <w:hyperlink r:id="rId11">
        <w:r>
          <w:rPr>
            <w:color w:val="0000EE"/>
            <w:u w:val="single"/>
          </w:rPr>
          <w:t>[2]</w:t>
        </w:r>
      </w:hyperlink>
      <w:r>
        <w:t xml:space="preserve"> </w:t>
      </w:r>
      <w:hyperlink r:id="rId9">
        <w:r>
          <w:rPr>
            <w:color w:val="0000EE"/>
            <w:u w:val="single"/>
          </w:rPr>
          <w:t>[3]</w:t>
        </w:r>
      </w:hyperlink>
      <w:r>
        <w:t xml:space="preserve"> </w:t>
      </w:r>
      <w:hyperlink r:id="rId13">
        <w:r>
          <w:rPr>
            <w:color w:val="0000EE"/>
            <w:u w:val="single"/>
          </w:rPr>
          <w:t>[6]</w:t>
        </w:r>
      </w:hyperlink>
      <w:r/>
    </w:p>
    <w:p>
      <w:r/>
      <w:r>
        <w:t>Ohio’s transition team could help turn community experience into better-informed policy.</w:t>
      </w:r>
      <w:r/>
    </w:p>
    <w:p>
      <w:pPr>
        <w:pStyle w:val="Heading3"/>
      </w:pPr>
      <w:r>
        <w:t>Source Reference Map</w:t>
      </w:r>
      <w:r/>
    </w:p>
    <w:p>
      <w:r/>
      <w:r>
        <w:rPr>
          <w:b/>
        </w:rPr>
        <w:t>Story idea inspired by:</w:t>
      </w:r>
      <w:r>
        <w:t xml:space="preserve"> </w:t>
      </w:r>
      <w:hyperlink r:id="rId16">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9">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[8]</w:t>
        </w:r>
      </w:hyperlink>
      <w:r>
        <w:t xml:space="preserve">- Paragraph 4: </w:t>
      </w:r>
      <w:hyperlink r:id="rId15">
        <w:r>
          <w:rPr>
            <w:color w:val="0000EE"/>
            <w:u w:val="single"/>
          </w:rPr>
          <w:t>[7]</w:t>
        </w:r>
      </w:hyperlink>
      <w:r>
        <w:t xml:space="preserve">, </w:t>
      </w:r>
      <w:hyperlink r:id="rId14">
        <w:r>
          <w:rPr>
            <w:color w:val="0000EE"/>
            <w:u w:val="single"/>
          </w:rPr>
          <w:t>[8]</w:t>
        </w:r>
      </w:hyperlink>
      <w:r>
        <w:t xml:space="preserve">- Paragraph 5: </w:t>
      </w:r>
      <w:hyperlink r:id="rId11">
        <w:r>
          <w:rPr>
            <w:color w:val="0000EE"/>
            <w:u w:val="single"/>
          </w:rPr>
          <w:t>[2]</w:t>
        </w:r>
      </w:hyperlink>
      <w:r>
        <w:t xml:space="preserve">, </w:t>
      </w:r>
      <w:hyperlink r:id="rId15">
        <w:r>
          <w:rPr>
            <w:color w:val="0000EE"/>
            <w:u w:val="single"/>
          </w:rPr>
          <w:t>[7]</w:t>
        </w:r>
      </w:hyperlink>
      <w:r>
        <w:t xml:space="preserve">- Paragraph 6: </w:t>
      </w:r>
      <w:hyperlink r:id="rId11">
        <w:r>
          <w:rPr>
            <w:color w:val="0000EE"/>
            <w:u w:val="single"/>
          </w:rPr>
          <w:t>[2]</w:t>
        </w:r>
      </w:hyperlink>
      <w:r>
        <w:t xml:space="preserve">, </w:t>
      </w:r>
      <w:hyperlink r:id="rId14">
        <w:r>
          <w:rPr>
            <w:color w:val="0000EE"/>
            <w:u w:val="single"/>
          </w:rPr>
          <w:t>[8]</w:t>
        </w:r>
      </w:hyperlink>
      <w:r>
        <w:t xml:space="preserve">- Paragraph 7: </w:t>
      </w:r>
      <w:hyperlink r:id="rId9">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1">
        <w:r>
          <w:rPr>
            <w:color w:val="0000EE"/>
            <w:u w:val="single"/>
          </w:rPr>
          <w:t>[2]</w:t>
        </w:r>
      </w:hyperlink>
      <w:r>
        <w:t xml:space="preserve">, </w:t>
      </w:r>
      <w:hyperlink r:id="rId14">
        <w:r>
          <w:rPr>
            <w:color w:val="0000EE"/>
            <w:u w:val="single"/>
          </w:rPr>
          <w:t>[8]</w:t>
        </w:r>
      </w:hyperlink>
      <w:r>
        <w:t xml:space="preserve">- Paragraph 10: </w:t>
      </w:r>
      <w:hyperlink r:id="rId11">
        <w:r>
          <w:rPr>
            <w:color w:val="0000EE"/>
            <w:u w:val="single"/>
          </w:rPr>
          <w:t>[2]</w:t>
        </w:r>
      </w:hyperlink>
      <w:r>
        <w:t xml:space="preserve">, </w:t>
      </w:r>
      <w:hyperlink r:id="rId9">
        <w:r>
          <w:rPr>
            <w:color w:val="0000EE"/>
            <w:u w:val="single"/>
          </w:rPr>
          <w:t>[3]</w:t>
        </w:r>
      </w:hyperlink>
      <w:r>
        <w:t xml:space="preserve">, </w:t>
      </w:r>
      <w:hyperlink r:id="rId13">
        <w:r>
          <w:rPr>
            <w:color w:val="0000EE"/>
            <w:u w:val="single"/>
          </w:rPr>
          <w:t>[6]</w:t>
        </w:r>
      </w:hyperlink>
      <w:r>
        <w:t xml:space="preserve">- Paragraph 11: </w:t>
      </w:r>
      <w:hyperlink r:id="rId11">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6">
        <w:r>
          <w:rPr>
            <w:color w:val="0000EE"/>
            <w:u w:val="single"/>
          </w:rPr>
          <w:t>https://www.advocate.com/opinion/open-letter-to-amy-acton</w:t>
        </w:r>
      </w:hyperlink>
      <w:r>
        <w:t xml:space="preserve"> - Please view link - unable to able to access data</w:t>
      </w:r>
      <w:r/>
    </w:p>
    <w:p>
      <w:pPr>
        <w:pStyle w:val="ListNumber"/>
        <w:spacing w:line="240" w:lineRule="auto"/>
        <w:ind w:left="720"/>
      </w:pPr>
      <w:r/>
      <w:hyperlink r:id="rId11">
        <w:r>
          <w:rPr>
            <w:color w:val="0000EE"/>
            <w:u w:val="single"/>
          </w:rPr>
          <w:t>https://thebuckeyeflame.com/2026/11/06/an-open-letter-to-governor-elect-dr-amy-acton/</w:t>
        </w:r>
      </w:hyperlink>
      <w:r>
        <w:t xml:space="preserve"> - This guest commentary, written by Equitas Health president and chief executive David Ernesto Munar, urges Ohio governor-elect Amy Acton to include LGBTQ+ health and civil-rights specialists and people living with HIV in her transition team. It identifies HIV prevention, care and disparities as priorities, citing an estimated 28,500 Ohioans living with HIV, 67.5% viral suppression in 2022, and an estimated 14.8% of people living with HIV unaware of their status. The letter advocates stronger access to testing, pre-exposure prophylaxis (PrEP), harm reduction, supportive services and community-based care. It also describes barriers facing LGBTQ+ Ohioans, including stigma, discrimination, unaffordable care and difficulty finding compassionate healthcare providers. The author points to research suggesting that six in ten LGBTQ+ adults prepare for possible insults or feel they must manage their appearance during healthcare visits. The letter calls attention to connected concerns such as housing instability, economic insecurity, intimate partner violence and mental health challenges. Its central argument is that people affected by policy should help shape it: LGBTQ+ Ohioans and people living with HIV should have meaningful representation in the transition process. The piece concludes that such participation would help ground the incoming administration’s decisions in evidence and lived experience, and support a healthier, safer and more equitable future for Ohioans.</w:t>
      </w:r>
      <w:r/>
    </w:p>
    <w:p>
      <w:pPr>
        <w:pStyle w:val="ListNumber"/>
        <w:spacing w:line="240" w:lineRule="auto"/>
        <w:ind w:left="720"/>
      </w:pPr>
      <w:r/>
      <w:hyperlink r:id="rId9">
        <w:r>
          <w:rPr>
            <w:color w:val="0000EE"/>
            <w:u w:val="single"/>
          </w:rPr>
          <w:t>https://www.cdc.gov/hivpartners/media/pdfs/2025/06/cdc_hiv_o3pc_factsheet_ohio_2025_508.pdf</w:t>
        </w:r>
      </w:hyperlink>
      <w:r>
        <w:t xml:space="preserve"> - This Centers for Disease Control and Prevention fact sheet outlines HIV prevention indicators and federal prevention support in Ohio. It reports that an estimated 28,500 people in the state were living with HIV and that HIV incidence declined between 2018 and 2022, preventing an estimated 190 new infections and avoiding substantial projected lifetime medical costs. The fact sheet notes CDC funding awarded in fiscal year 2024 to Ohio health departments and community-based organisations for prevention and care, including funding for the national Ending the HIV Epidemic initiative. For 2022, it states that 85.2% of Ohioans living with HIV knew their status, meaning an estimated 14.8% did not know they had HIV and were not receiving the care they needed. It places this figure alongside the national estimate for comparison. The document describes prevention work such as expanding routine testing in healthcare settings, providing tests in non-clinical venues, increasing access to HIV self-tests, and integrating screening for sexually transmitted infections and viral hepatitis. It also points readers to CDC and federal data resources for further indicators. The fact sheet supports the article’s Ohio HIV prevalence and undiagnosed-status figures, while also illustrating ongoing federal and community-based prevention activity.</w:t>
      </w:r>
      <w:r/>
    </w:p>
    <w:p>
      <w:pPr>
        <w:pStyle w:val="ListNumber"/>
        <w:spacing w:line="240" w:lineRule="auto"/>
        <w:ind w:left="720"/>
      </w:pPr>
      <w:r/>
      <w:hyperlink r:id="rId10">
        <w:r>
          <w:rPr>
            <w:color w:val="0000EE"/>
            <w:u w:val="single"/>
          </w:rPr>
          <w:t>https://stacks.cdc.gov/view/cdc/156511/cdc_156511_DS1.pdf</w:t>
        </w:r>
      </w:hyperlink>
      <w:r>
        <w:t xml:space="preserve"> - This CDC surveillance supplement presents national and state-level data on HIV prevention and care objectives in 2022. Its tables include the number of people living with diagnosed HIV and indicators covering diagnosis, receipt of medical care and viral suppression. The Ohio row reports that 15,970 people had viral suppression, equivalent to 67.5% of the relevant population in the table. This provides a source for the article’s statement about Ohio’s 2022 viral suppression rate. The report also explains its surveillance framework and presents comparable figures for other states, allowing readers to place Ohio’s result within the national picture. These figures describe people aged 13 and older living with diagnosed HIV under the report’s specified definitions and reporting conditions; they should therefore be interpreted in the context of the table’s population and methodology. The supplement is a technical data source rather than a policy commentary. It does not make recommendations about Ohio’s transition team or LGBTQ+ representation, but it substantiates the specific HIV-care statistic cited in the letter and provides a basis for understanding gaps in treatment outcomes. Its state-by-state reporting can inform public health planning, comparisons and discussions about where expanded testing, linkage to care and treatment support may be needed.</w:t>
      </w:r>
      <w:r/>
    </w:p>
    <w:p>
      <w:pPr>
        <w:pStyle w:val="ListNumber"/>
        <w:spacing w:line="240" w:lineRule="auto"/>
        <w:ind w:left="720"/>
      </w:pPr>
      <w:r/>
      <w:hyperlink r:id="rId12">
        <w:r>
          <w:rPr>
            <w:color w:val="0000EE"/>
            <w:u w:val="single"/>
          </w:rPr>
          <w:t>https://ahead.hiv.gov/ohio/</w:t>
        </w:r>
      </w:hyperlink>
      <w:r>
        <w:t xml:space="preserve"> - The federal AHEAD dashboard gathers HIV indicators for Ohio and presents data relevant to the national Ending the HIV Epidemic initiative. The dashboard displays estimates and measures such as incidence, knowledge of HIV status, linkage to care and viral suppression, with options to explore data over time and by demographic categories. Its Ohio overview reports an estimated 880 new HIV infections in 2022 and indicates that 85.2% of Ohioans living with HIV knew their status that year, leaving an estimated 14.8% unaware. The dashboard also displays newer measures, making it possible to see that indicators vary by reporting year rather than treating older figures as current. It is designed to support public health monitoring and planning, not to provide individual medical advice. For readers of the open letter, the resource supplies a way to check Ohio-specific HIV indicators and understand the difference between estimates, annual measures and programme goals. It helps contextualise the letter’s call for sustained investment in testing, prevention and treatment, while making clear that HIV outcomes are monitored through several linked measures rather than a single statistic. The dashboard also links Ohio’s data to the broader federal Ending the HIV Epidemic framework.</w:t>
      </w:r>
      <w:r/>
    </w:p>
    <w:p>
      <w:pPr>
        <w:pStyle w:val="ListNumber"/>
        <w:spacing w:line="240" w:lineRule="auto"/>
        <w:ind w:left="720"/>
      </w:pPr>
      <w:r/>
      <w:hyperlink r:id="rId13">
        <w:r>
          <w:rPr>
            <w:color w:val="0000EE"/>
            <w:u w:val="single"/>
          </w:rPr>
          <w:t>https://www.kff.org/racial-equity-and-health-policy/lgbt-adults-experiences-with-discrimination-and-health-care-disparities-findings-from-the-kff-survey-of-racism-discrimination-and-health/</w:t>
        </w:r>
      </w:hyperlink>
      <w:r>
        <w:t xml:space="preserve"> - This KFF analysis reports findings from its 2023 Survey on Racism, Discrimination, and Health, focusing on LGBT adults’ experiences in healthcare. It finds that six in ten LGBT adults say they prepare for possible insults from healthcare providers or staff, or feel they need to be careful about their appearance to be treated fairly, at least some of the time. The comparable figure among non-LGBT adults is 39%. The analysis also describes unfair or disrespectful treatment: LGBT adults who used healthcare in the previous three years were more than twice as likely as non-LGBT adults to report such treatment. Some respondents said negative encounters worsened their health, made them less likely to seek care or led them to change providers. KFF also notes that many LGBT adults report respectful and helpful interactions with providers, so the findings describe disparities rather than claiming all care is negative. The survey findings support the open letter’s statement about anticipating insults and help explain how stigma can create barriers to care. The analysis discusses differences across groups and the potential consequences of healthcare experiences for access and wellbeing. It is a national survey and should not be interpreted as an Ohio-only estimate.</w:t>
      </w:r>
      <w:r/>
    </w:p>
    <w:p>
      <w:pPr>
        <w:pStyle w:val="ListNumber"/>
        <w:spacing w:line="240" w:lineRule="auto"/>
        <w:ind w:left="720"/>
      </w:pPr>
      <w:r/>
      <w:hyperlink r:id="rId15">
        <w:r>
          <w:rPr>
            <w:color w:val="0000EE"/>
            <w:u w:val="single"/>
          </w:rPr>
          <w:t>https://dam.assets.ohio.gov/image/upload/med.ohio.gov/portals/0/smbo%20cultural%20competency%20guide%20for%20providers_10_16_20.pdf</w:t>
        </w:r>
      </w:hyperlink>
      <w:r>
        <w:t xml:space="preserve"> - This Ohio provider guide discusses cultural and linguistic competency and offers guidance for improving health outcomes for diverse communities, including LGBTQ+ Ohioans. It estimates that 461,000 LGBTQ+ people live in Ohio and describes inequities involving mental health, substance use and intimate partner or interpersonal violence. The guide notes that some LGBTQ+ people struggle to find healthcare settings where they feel accepted, and that stigma and discrimination can affect whether they seek care again. It identifies barriers such as denial of care, providers’ limited understanding of patients’ needs, and intrusive or irrelevant questioning, particularly for trans and non-binary people. The document then recommends practical steps for healthcare organisations: avoid assumptions about identity, use inclusive forms and language, protect private information, adopt clear anti-discrimination policies and use trauma-informed, collaborative care. It also advises providers to build knowledge of LGBTQ+ health issues and respond constructively when mistakes occur. This official Ohio resource supports the article’s discussion of healthcare access, stigma, mental health and interpersonal violence, while offering concrete practices intended to make care more welcoming and responsive. Its focus is provider education and service delivery, rather than a comprehensive statewide assessment of every disparity mentioned in the letter.</w:t>
      </w:r>
      <w:r/>
    </w:p>
    <w:p>
      <w:pPr>
        <w:pStyle w:val="ListNumber"/>
        <w:spacing w:line="240" w:lineRule="auto"/>
        <w:ind w:left="720"/>
      </w:pPr>
      <w:r/>
      <w:hyperlink r:id="rId14">
        <w:r>
          <w:rPr>
            <w:color w:val="0000EE"/>
            <w:u w:val="single"/>
          </w:rPr>
          <w:t>https://williamsinstitute.law.ucla.edu/publications/lgbt-stigma-discrim-oh/</w:t>
        </w:r>
      </w:hyperlink>
      <w:r>
        <w:t xml:space="preserve"> - This Williams Institute report examines stigma and discrimination affecting LGBT people in Ohio and discusses consequences for economic security and health. It estimates the state’s LGBT adult and youth populations and reviews evidence relating to employment, housing, public accommodations, schools and healthcare. The report describes how discrimination and harassment can contribute to financial instability and poorer health, and argues that a more supportive legal and social environment could reduce these harms. Its findings include substantial differences between LGBT and non-LGBT Ohioans in measures such as food insecurity and diagnosed depression. It also discusses housing discrimination and homelessness reported by transgender respondents, as well as mental-health concerns among LGBT adults and young people. The report presents historical survey and research findings, so its figures should be read with their original dates and study definitions in mind. It does not substantiate every condition listed in the open letter, but it provides Ohio-specific evidence for the connected themes of discrimination, housing insecurity, economic hardship and mental health. The report’s overall emphasis is that social and legal conditions influence wellbeing and that addressing stigma has potential benefits for individuals, employers and the state’s economy.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c.gov/hivpartners/media/pdfs/2025/06/cdc_hiv_o3pc_factsheet_ohio_2025_508.pdf" TargetMode="External"/><Relationship Id="rId10" Type="http://schemas.openxmlformats.org/officeDocument/2006/relationships/hyperlink" Target="https://stacks.cdc.gov/view/cdc/156511/cdc_156511_DS1.pdf" TargetMode="External"/><Relationship Id="rId11" Type="http://schemas.openxmlformats.org/officeDocument/2006/relationships/hyperlink" Target="https://thebuckeyeflame.com/2026/11/06/an-open-letter-to-governor-elect-dr-amy-acton/" TargetMode="External"/><Relationship Id="rId12" Type="http://schemas.openxmlformats.org/officeDocument/2006/relationships/hyperlink" Target="https://ahead.hiv.gov/ohio/" TargetMode="External"/><Relationship Id="rId13" Type="http://schemas.openxmlformats.org/officeDocument/2006/relationships/hyperlink" Target="https://www.kff.org/racial-equity-and-health-policy/lgbt-adults-experiences-with-discrimination-and-health-care-disparities-findings-from-the-kff-survey-of-racism-discrimination-and-health/" TargetMode="External"/><Relationship Id="rId14" Type="http://schemas.openxmlformats.org/officeDocument/2006/relationships/hyperlink" Target="https://williamsinstitute.law.ucla.edu/publications/lgbt-stigma-discrim-oh/" TargetMode="External"/><Relationship Id="rId15" Type="http://schemas.openxmlformats.org/officeDocument/2006/relationships/hyperlink" Target="https://dam.assets.ohio.gov/image/upload/med.ohio.gov/portals/0/smbo%20cultural%20competency%20guide%20for%20providers_10_16_20.pdf" TargetMode="External"/><Relationship Id="rId16" Type="http://schemas.openxmlformats.org/officeDocument/2006/relationships/hyperlink" Target="https://www.advocate.com/opinion/open-letter-to-amy-act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