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Labour's Draft Conversion Therapy Bill and Stonewall's Role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Questions over Stonewall's involvement have sharpened debate about Labour's draft conversion practices bill, a proposed law intended to protect people from harmful attempts to change their sexual orientation or gender identity. The dispute centres on access, evidence and how the rules would work in practice, making the details of the draft especially important for parents, professionals and campaigners.</w:t>
      </w:r>
      <w:r/>
    </w:p>
    <w:p>
      <w:pPr>
        <w:pStyle w:val="Heading2"/>
      </w:pPr>
      <w:r>
        <w:t>The draft bill has become a flashpoint</w:t>
      </w:r>
      <w:r/>
    </w:p>
    <w:p>
      <w:r/>
      <w:r>
        <w:t xml:space="preserve">The central concern is how to protect people from coercion without making ordinary, supportive conversations feel legally risky. The draft bill proposes an offence relating to conversion practices, with penalties that can include imprisonment. Its wording and safeguards are therefore at the heart of the argument, rather than the bill's stated aim alone. (Sources: </w:t>
      </w:r>
      <w:hyperlink r:id="rId9">
        <w:r>
          <w:rPr>
            <w:color w:val="0000EE"/>
            <w:u w:val="single"/>
          </w:rPr>
          <w:t>[2]</w:t>
        </w:r>
      </w:hyperlink>
      <w:r>
        <w:t xml:space="preserve">, </w:t>
      </w:r>
      <w:hyperlink r:id="rId10">
        <w:r>
          <w:rPr>
            <w:color w:val="0000EE"/>
            <w:u w:val="single"/>
          </w:rPr>
          <w:t>[3]</w:t>
        </w:r>
      </w:hyperlink>
      <w:r>
        <w:t>)</w:t>
      </w:r>
      <w:r/>
    </w:p>
    <w:p>
      <w:r/>
      <w:r>
        <w:t xml:space="preserve">The Telegraph reported that Stonewall had contributed research used by the Government, and that the charity's policy chief had attended a Downing Street meeting about the proposals. Gender-critical campaigners say that access was troubling, particularly because they felt their own perspectives had not received comparable attention. (Sources: </w:t>
      </w:r>
      <w:hyperlink r:id="rId11">
        <w:r>
          <w:rPr>
            <w:color w:val="0000EE"/>
            <w:u w:val="single"/>
          </w:rPr>
          <w:t>[1]</w:t>
        </w:r>
      </w:hyperlink>
      <w:r>
        <w:t xml:space="preserve">, </w:t>
      </w:r>
      <w:hyperlink r:id="rId12">
        <w:r>
          <w:rPr>
            <w:color w:val="0000EE"/>
            <w:u w:val="single"/>
          </w:rPr>
          <w:t>[6]</w:t>
        </w:r>
      </w:hyperlink>
      <w:r>
        <w:t>)</w:t>
      </w:r>
      <w:r/>
    </w:p>
    <w:p>
      <w:pPr>
        <w:pStyle w:val="Heading2"/>
      </w:pPr>
      <w:r>
        <w:t>What does the proposed law cover?</w:t>
      </w:r>
      <w:r/>
    </w:p>
    <w:p>
      <w:r/>
      <w:r>
        <w:t xml:space="preserve">The Government's draft materials describe the bill's scope, offences and proposed protections. The explanatory notes and impact assessment offer further detail on how ministers intend the measure to operate, including its effects and the reasoning behind the approach. Reading those documents gives a firmer basis for discussion than relying on campaign slogans from either side.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w:t>
      </w:r>
      <w:r/>
    </w:p>
    <w:p>
      <w:r/>
      <w:r>
        <w:t xml:space="preserve">The proposal is not simply a ban on expressing a view about gender or sexuality. Its stated focus is conversion practices, and the legal test and protections in the draft are crucial to understanding where the line would fall. Critics nevertheless worry that uncertainty could chill conversations involving children, patients or employees. (Sources: </w:t>
      </w:r>
      <w:hyperlink r:id="rId10">
        <w:r>
          <w:rPr>
            <w:color w:val="0000EE"/>
            <w:u w:val="single"/>
          </w:rPr>
          <w:t>[3]</w:t>
        </w:r>
      </w:hyperlink>
      <w:r>
        <w:t xml:space="preserve">, </w:t>
      </w:r>
      <w:hyperlink r:id="rId14">
        <w:r>
          <w:rPr>
            <w:color w:val="0000EE"/>
            <w:u w:val="single"/>
          </w:rPr>
          <w:t>[5]</w:t>
        </w:r>
      </w:hyperlink>
      <w:r>
        <w:t xml:space="preserve">, </w:t>
      </w:r>
      <w:hyperlink r:id="rId15">
        <w:r>
          <w:rPr>
            <w:color w:val="0000EE"/>
            <w:u w:val="single"/>
          </w:rPr>
          <w:t>[7]</w:t>
        </w:r>
      </w:hyperlink>
      <w:r>
        <w:t>)</w:t>
      </w:r>
      <w:r/>
    </w:p>
    <w:p>
      <w:pPr>
        <w:pStyle w:val="Heading2"/>
      </w:pPr>
      <w:r>
        <w:t>Why Stonewall's involvement matters</w:t>
      </w:r>
      <w:r/>
    </w:p>
    <w:p>
      <w:r/>
      <w:r>
        <w:t xml:space="preserve">Stonewall's role has become part of a wider argument about who gets heard when government develops policy. Supporters of consulting specialist organisations may see its input as relevant expertise; critics question whether the process gave enough weight to competing views. Either way, transparent consultation matters when a proposed offence could affect personal relationships and professional settings. (Sources: </w:t>
      </w:r>
      <w:hyperlink r:id="rId11">
        <w:r>
          <w:rPr>
            <w:color w:val="0000EE"/>
            <w:u w:val="single"/>
          </w:rPr>
          <w:t>[1]</w:t>
        </w:r>
      </w:hyperlink>
      <w:r>
        <w:t xml:space="preserve">, </w:t>
      </w:r>
      <w:hyperlink r:id="rId12">
        <w:r>
          <w:rPr>
            <w:color w:val="0000EE"/>
            <w:u w:val="single"/>
          </w:rPr>
          <w:t>[6]</w:t>
        </w:r>
      </w:hyperlink>
      <w:r>
        <w:t xml:space="preserve">, </w:t>
      </w:r>
      <w:hyperlink r:id="rId15">
        <w:r>
          <w:rPr>
            <w:color w:val="0000EE"/>
            <w:u w:val="single"/>
          </w:rPr>
          <w:t>[7]</w:t>
        </w:r>
      </w:hyperlink>
      <w:r>
        <w:t>)</w:t>
      </w:r>
      <w:r/>
    </w:p>
    <w:p>
      <w:r/>
      <w:r>
        <w:t xml:space="preserve">Stonewall has itself pressed the Government over delays to a promised ban on conversion practices, showing that it has advocated for action on the issue. That public position is relevant context, but it doesn't by itself settle whether the draft law is balanced or clear. Those questions depend on the bill's wording and how it would be applied. (Sources: </w:t>
      </w:r>
      <w:hyperlink r:id="rId12">
        <w:r>
          <w:rPr>
            <w:color w:val="0000EE"/>
            <w:u w:val="single"/>
          </w:rPr>
          <w:t>[6]</w:t>
        </w:r>
      </w:hyperlink>
      <w:r>
        <w:t xml:space="preserve">, </w:t>
      </w:r>
      <w:hyperlink r:id="rId9">
        <w:r>
          <w:rPr>
            <w:color w:val="0000EE"/>
            <w:u w:val="single"/>
          </w:rPr>
          <w:t>[2]</w:t>
        </w:r>
      </w:hyperlink>
      <w:r>
        <w:t xml:space="preserve">, </w:t>
      </w:r>
      <w:hyperlink r:id="rId14">
        <w:r>
          <w:rPr>
            <w:color w:val="0000EE"/>
            <w:u w:val="single"/>
          </w:rPr>
          <w:t>[5]</w:t>
        </w:r>
      </w:hyperlink>
      <w:r>
        <w:t>)</w:t>
      </w:r>
      <w:r/>
    </w:p>
    <w:p>
      <w:pPr>
        <w:pStyle w:val="Heading2"/>
      </w:pPr>
      <w:r>
        <w:t>What should readers look for in the draft?</w:t>
      </w:r>
      <w:r/>
    </w:p>
    <w:p>
      <w:r/>
      <w:r>
        <w:t xml:space="preserve">For parents, teachers and health professionals, the practical questions are straightforward: what conduct is prohibited, what counts as coercion, and what protections apply to discussion or support? The draft bill, explanatory notes and impact assessment are the most useful places to start. They allow readers to check claims against the proposed text rather than infer the rules from political debate. (Sources: </w:t>
      </w:r>
      <w:hyperlink r:id="rId10">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w:t>
      </w:r>
      <w:r/>
    </w:p>
    <w:p>
      <w:r/>
      <w:r>
        <w:t xml:space="preserve">The parliamentary briefing also helps place the proposal in its legislative context. As the debate continues, watch for changes to definitions, safeguards and enforcement provisions. Those details will show whether the final approach can protect people from abuse while allowing careful, honest conversations. (Sources: </w:t>
      </w:r>
      <w:hyperlink r:id="rId15">
        <w:r>
          <w:rPr>
            <w:color w:val="0000EE"/>
            <w:u w:val="single"/>
          </w:rPr>
          <w:t>[7]</w:t>
        </w:r>
      </w:hyperlink>
      <w:r>
        <w:t xml:space="preserve">, </w:t>
      </w:r>
      <w:hyperlink r:id="rId9">
        <w:r>
          <w:rPr>
            <w:color w:val="0000EE"/>
            <w:u w:val="single"/>
          </w:rPr>
          <w:t>[2]</w:t>
        </w:r>
      </w:hyperlink>
      <w:r>
        <w:t xml:space="preserve">, </w:t>
      </w:r>
      <w:hyperlink r:id="rId10">
        <w:r>
          <w:rPr>
            <w:color w:val="0000EE"/>
            <w:u w:val="single"/>
          </w:rPr>
          <w:t>[3]</w:t>
        </w:r>
      </w:hyperlink>
      <w:r>
        <w:t>)</w:t>
      </w:r>
      <w:r/>
    </w:p>
    <w:p>
      <w:pPr>
        <w:pStyle w:val="Heading2"/>
      </w:pPr>
      <w:r>
        <w:t>The debate now turns on clarity and trust</w:t>
      </w:r>
      <w:r/>
    </w:p>
    <w:p>
      <w:r/>
      <w:r>
        <w:t xml:space="preserve">A law's purpose matters, but so does public confidence in how it was developed. The dispute over Stonewall's access has made consultation part of the story, while the draft's practical boundaries remain the central issue for anyone who may be affected. (Sources: </w:t>
      </w:r>
      <w:hyperlink r:id="rId11">
        <w:r>
          <w:rPr>
            <w:color w:val="0000EE"/>
            <w:u w:val="single"/>
          </w:rPr>
          <w:t>[1]</w:t>
        </w:r>
      </w:hyperlink>
      <w:r>
        <w:t xml:space="preserve">, </w:t>
      </w:r>
      <w:hyperlink r:id="rId12">
        <w:r>
          <w:rPr>
            <w:color w:val="0000EE"/>
            <w:u w:val="single"/>
          </w:rPr>
          <w:t>[6]</w:t>
        </w:r>
      </w:hyperlink>
      <w:r>
        <w:t xml:space="preserve">, </w:t>
      </w:r>
      <w:hyperlink r:id="rId15">
        <w:r>
          <w:rPr>
            <w:color w:val="0000EE"/>
            <w:u w:val="single"/>
          </w:rPr>
          <w:t>[7]</w:t>
        </w:r>
      </w:hyperlink>
      <w:r>
        <w:t>)</w:t>
      </w:r>
      <w:r/>
    </w:p>
    <w:p>
      <w:r/>
      <w:r>
        <w:t xml:space="preserve">For now, the most useful step is to read the proposal itself and distinguish its stated provisions from predictions about what it might mean. Clear drafting and open scrutiny will matter whichever side of the debate readers take. (Sources: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t>)</w:t>
      </w:r>
      <w:r/>
    </w:p>
    <w:p>
      <w:r/>
      <w:r>
        <w:t>The details, not just the rhetoric, will determine whether the bill can command confidence.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[1]</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[3]</w:t>
        </w:r>
      </w:hyperlink>
      <w:r>
        <w:t xml:space="preserve">, </w:t>
      </w:r>
      <w:hyperlink r:id="rId14">
        <w:r>
          <w:rPr>
            <w:color w:val="0000EE"/>
            <w:u w:val="single"/>
          </w:rPr>
          <w:t>[5]</w:t>
        </w:r>
      </w:hyperlink>
      <w:r>
        <w:t xml:space="preserve">, </w:t>
      </w:r>
      <w:hyperlink r:id="rId15">
        <w:r>
          <w:rPr>
            <w:color w:val="0000EE"/>
            <w:u w:val="single"/>
          </w:rPr>
          <w:t>[7]</w:t>
        </w:r>
      </w:hyperlink>
      <w:r>
        <w:t xml:space="preserve">- Paragraph 5: </w:t>
      </w:r>
      <w:hyperlink r:id="rId11">
        <w:r>
          <w:rPr>
            <w:color w:val="0000EE"/>
            <w:u w:val="single"/>
          </w:rPr>
          <w:t>[1]</w:t>
        </w:r>
      </w:hyperlink>
      <w:r>
        <w:t xml:space="preserve">, </w:t>
      </w:r>
      <w:hyperlink r:id="rId12">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[6]</w:t>
        </w:r>
      </w:hyperlink>
      <w:r>
        <w:t xml:space="preserve">, </w:t>
      </w:r>
      <w:hyperlink r:id="rId9">
        <w:r>
          <w:rPr>
            <w:color w:val="0000EE"/>
            <w:u w:val="single"/>
          </w:rPr>
          <w:t>[2]</w:t>
        </w:r>
      </w:hyperlink>
      <w:r>
        <w:t xml:space="preserve">, </w:t>
      </w:r>
      <w:hyperlink r:id="rId14">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 xml:space="preserve">- Paragraph 8: </w:t>
      </w:r>
      <w:hyperlink r:id="rId15">
        <w:r>
          <w:rPr>
            <w:color w:val="0000EE"/>
            <w:u w:val="single"/>
          </w:rPr>
          <w:t>[7]</w:t>
        </w:r>
      </w:hyperlink>
      <w:r>
        <w:t xml:space="preserve">,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[1]</w:t>
        </w:r>
      </w:hyperlink>
      <w:r>
        <w:t xml:space="preserve">, </w:t>
      </w:r>
      <w:hyperlink r:id="rId12">
        <w:r>
          <w:rPr>
            <w:color w:val="0000EE"/>
            <w:u w:val="single"/>
          </w:rPr>
          <w:t>[6]</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https://anglicanmainstream.org/article/stonewall-helped-labour-draw-up-chilling-trans-law/</w:t>
        </w:r>
      </w:hyperlink>
      <w:r>
        <w:t xml:space="preserve"> - Please view link - unable to able to access data</w:t>
      </w:r>
      <w:r/>
    </w:p>
    <w:p>
      <w:pPr>
        <w:pStyle w:val="ListNumber"/>
        <w:spacing w:line="240" w:lineRule="auto"/>
        <w:ind w:left="720"/>
      </w:pPr>
      <w:r/>
      <w:hyperlink r:id="rId9">
        <w:r>
          <w:rPr>
            <w:color w:val="0000EE"/>
            <w:u w:val="single"/>
          </w:rPr>
          <w:t>https://www.gov.uk/government/publications/draft-conversion-practices-bill</w:t>
        </w:r>
      </w:hyperlink>
      <w:r>
        <w:t xml:space="preserve"> - This official publication page introduces the draft Conversion Practices Bill, published by the UK Government for pre-legislative scrutiny. It explains that the proposed legislation applies to England and Wales and is intended to address abusive practices aimed at changing a person’s sexual orientation or transgender identity. The bill proposes criminal offences for carrying out abusive conversion practices and for encouraging or assisting such practices against a UK national or resident abroad. It also provides for civil protection orders intended to prevent or respond to abuse. The page links to the draft bill, explanatory notes, and impact assessments, allowing readers to examine both the proposed legal provisions and the Government’s stated rationale. This source supports the article’s central information that a draft law exists and describes its general scope and purpose. It does not, by itself, verify the article’s claims about Stonewall’s role in drafting the legislation, access to Downing Street, or the concerns expressed by gender-critical campaigners. The publication page’s summary describes the bill as targeting criminal conversion practices; the exact threshold and potential penalties are set out in the bill text and accompanying documents. As this is a draft, its proposals should not be mistaken for provisions already enacted and in force. The page is an official government source, rather than independent reporting or commentary.</w:t>
      </w:r>
      <w:r/>
    </w:p>
    <w:p>
      <w:pPr>
        <w:pStyle w:val="ListNumber"/>
        <w:spacing w:line="240" w:lineRule="auto"/>
        <w:ind w:left="720"/>
      </w:pPr>
      <w:r/>
      <w:hyperlink r:id="rId10">
        <w:r>
          <w:rPr>
            <w:color w:val="0000EE"/>
            <w:u w:val="single"/>
          </w:rPr>
          <w:t>https://www.gov.uk/government/publications/draft-conversion-practices-bill/conversion-practices-draft-bill</w:t>
        </w:r>
      </w:hyperlink>
      <w:r>
        <w:t xml:space="preserve"> - This is the text of the Government’s draft Conversion Practices Bill. It defines a conversion practice by reference to conduct intended to change, or alter a person’s belief about, their sexual orientation or transgender identity. The proposed main offence applies when an abusive conversion practice causes serious physical or mental harm, or serious alarm or distress that substantially affects the person’s usual daily activities. A person convicted on indictment could face up to five years’ imprisonment, a fine, or both. The bill also proposes an offence involving the intentional encouragement or assistance of abusive practices conducted outside England and Wales against qualifying UK individuals. Courts could make conversion practice protection orders to protect people from practices likely to cause the specified serious harm or distress. Separate provisions cover corporate and unincorporated bodies, including circumstances in which relevant officers may also commit an offence. The draft is expressly limited to England and Wales and would commence two months after passage, if enacted. This primary-source text supports the article’s description of a proposed offence and five-year maximum sentence. It also helps distinguish the bill’s stated legal tests from broader claims made by supporters or opponents about how it might affect conversations, healthcare, teaching, parenting, or workplace conduct. Those claimed effects are not established simply by the bill’s wording and require separate analysis. The document is draft legislation, not proof that these offences are currently law.</w:t>
      </w:r>
      <w:r/>
    </w:p>
    <w:p>
      <w:pPr>
        <w:pStyle w:val="ListNumber"/>
        <w:spacing w:line="240" w:lineRule="auto"/>
        <w:ind w:left="720"/>
      </w:pPr>
      <w:r/>
      <w:hyperlink r:id="rId13">
        <w:r>
          <w:rPr>
            <w:color w:val="0000EE"/>
            <w:u w:val="single"/>
          </w:rPr>
          <w:t>https://www.gov.uk/government/publications/draft-conversion-practices-bill/draft-final-stage-impact-assessment</w:t>
        </w:r>
      </w:hyperlink>
      <w:r>
        <w:t xml:space="preserve"> - The Government’s draft final-stage impact assessment sets out the policy case and evidence considered in developing the proposed Conversion Practices Bill. It describes conversion practices as acts intended to change a person’s sexual orientation or transgender identity and says the proposal aims to deter abusive conduct and protect victims. The assessment reviews evidence on reported prevalence, acknowledging that measurement is difficult because incidents are not captured consistently in official statistics and many estimates rely on surveys with differing definitions and methods. It identifies a Stonewall-commissioned Opinium survey as the only recent annual self-report measure drawn from a nationally representative LGBT+ sample among the data sources it discusses. The assessment reports that this survey suggests around 11 per cent of LGBT+ respondents experienced specified practices in the previous year, while also recognising limitations in the evidence. It describes the planned offences and protection orders and considers possible impacts of the legislation. This source is particularly relevant to the article’s assertion that the Government relies on research produced or commissioned by Stonewall: it confirms that Stonewall-commissioned survey data appears in the Government’s evidence review. However, citing that research does not independently establish the article’s further claim that Stonewall helped write the bill or that its policy head attended a particular meeting at No 10. The assessment is an official government analysis, not a neutral account of all disputed interpretations. It records the Government’s evidential approach and should be read alongside the bill and other views.</w:t>
      </w:r>
      <w:r/>
    </w:p>
    <w:p>
      <w:pPr>
        <w:pStyle w:val="ListNumber"/>
        <w:spacing w:line="240" w:lineRule="auto"/>
        <w:ind w:left="720"/>
      </w:pPr>
      <w:r/>
      <w:hyperlink r:id="rId14">
        <w:r>
          <w:rPr>
            <w:color w:val="0000EE"/>
            <w:u w:val="single"/>
          </w:rPr>
          <w:t>https://www.gov.uk/government/publications/draft-conversion-practices-bill/explanatory-notes</w:t>
        </w:r>
      </w:hyperlink>
      <w:r>
        <w:t xml:space="preserve"> - These explanatory notes accompany the draft Conversion Practices Bill and describe its intended provisions and policy background. They state that Labour’s 2024 manifesto included a commitment to a trans-inclusive ban on conversion practices and that the Government later published a draft bill for parliamentary scrutiny. The notes outline three proposed offences, protection orders, corporate liability provisions, and the bill’s territorial application. They explain that the main offence concerns abusive conduct causing serious harm or serious alarm or distress with a substantial adverse effect on ordinary daily activities. The document also says the proposal is intended to be balanced and targeted, and not to inhibit legitimate healthcare or broader support for people exploring sexual orientation or transgender identity, or interfere with religious belief and expression. The notes describe possible conduct ranging from physical violence to psychologically abusive or coercive behaviour. This official document helps contextualise the article’s discussion of fears about whether ordinary conversations, healthcare, teaching, or parenting might be affected. It presents the Government’s stated intentions and the proposed legal framework, but it cannot settle how a court would interpret provisions if enacted or resolve disagreements about their practical effects. It does not verify the article’s claims that Stonewall participated in drafting, attended a Downing Street meeting, or made recommendations to MPs. For those specific claims, readers would need direct documentation, parliamentary records, or independent reporting. The notes are explanatory material and expressly should be read alongside the draft bill; they are not a complete account of every possible application.</w:t>
      </w:r>
      <w:r/>
    </w:p>
    <w:p>
      <w:pPr>
        <w:pStyle w:val="ListNumber"/>
        <w:spacing w:line="240" w:lineRule="auto"/>
        <w:ind w:left="720"/>
      </w:pPr>
      <w:r/>
      <w:hyperlink r:id="rId12">
        <w:r>
          <w:rPr>
            <w:color w:val="0000EE"/>
            <w:u w:val="single"/>
          </w:rPr>
          <w:t>https://www.stonewall.org.uk/news/government-fails-to-meet-timeline-to-ban-conversion-practices</w:t>
        </w:r>
      </w:hyperlink>
      <w:r>
        <w:t xml:space="preserve"> - In this statement, Stonewall argues that the Government had failed to meet its promised timeline for publishing a draft bill to ban conversion practices. The organisation describes such practices broadly as interventions intended to change, cure, or suppress someone’s sexual orientation or gender identity. It presents reported survey findings about people who have been offered or experienced conversion practices and includes a personal account of harm. Stonewall traces the policy commitment through earlier governments and notes that Labour included a commitment to ban conversion practices in its 2024 manifesto, while the 2024 King’s Speech promised a draft bill. The organisation says it and the Ban Conversion Practices Coalition continued to campaign for an inclusive ban and urged the Government to publish legislation. This is a primary source for Stonewall’s own advocacy position and helps explain why the organisation would take an interest in the policy. It is not independent confirmation of the article’s specific allegations about Stonewall’s access to ministers, involvement in drafting, or meetings at Downing Street. The article frames Stonewall as influential and controversial; this page instead presents the charity’s own case for legislation and its account of government delay. Its statistics and claims should be read as statements made by Stonewall, with the underlying survey methods and other evidence consulted separately where accuracy or interpretation is important. The publication is advocacy material, rather than a government document or independent investigation, and it reflects the organisation’s perspective on the issue.</w:t>
      </w:r>
      <w:r/>
    </w:p>
    <w:p>
      <w:pPr>
        <w:pStyle w:val="ListNumber"/>
        <w:spacing w:line="240" w:lineRule="auto"/>
        <w:ind w:left="720"/>
      </w:pPr>
      <w:r/>
      <w:hyperlink r:id="rId15">
        <w:r>
          <w:rPr>
            <w:color w:val="0000EE"/>
            <w:u w:val="single"/>
          </w:rPr>
          <w:t>https://researchbriefings.files.parliament.uk/documents/CBP-9972/CBP-9972.pdf</w:t>
        </w:r>
      </w:hyperlink>
      <w:r>
        <w:t xml:space="preserve"> - This House of Commons Library briefing, published on 22 February 2024, surveys the history of UK policy proposals to prohibit conversion therapy. It reviews government consultations, public commitments, proposed legislation, and changes in policy over time. The briefing explains that earlier governments repeatedly considered or promised legislation, with proposals varying in whether they covered sexual orientation, gender identity, or both. It summarises arguments in the public debate, including concerns raised by some that legislation covering gender identity might have a chilling effect on discussions or decisions, and the opposing view that such concerns are unfounded. It also notes the disagreement and complexity surrounding the scope of a ban. The document predates the draft bill discussed in the article and therefore cannot verify the later claims about Stonewall’s role in its preparation or meetings with government. It does, however, provide useful background for understanding why gender-critical campaigners might express concern about possible effects on conversations about gender identity. The briefing describes positions and policy history; it does not endorse every argument it records. Its account should not be treated as an assessment of the final wording of the 2026 draft bill, which was published later. For the current proposed offences, legal thresholds, and penalties, the draft bill itself is the more direct source. This parliamentary research paper is useful context for the controversy and for distinguishing established legislative history from predictions about future consequences.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publications/draft-conversion-practices-bill" TargetMode="External"/><Relationship Id="rId10" Type="http://schemas.openxmlformats.org/officeDocument/2006/relationships/hyperlink" Target="https://www.gov.uk/government/publications/draft-conversion-practices-bill/conversion-practices-draft-bill" TargetMode="External"/><Relationship Id="rId11" Type="http://schemas.openxmlformats.org/officeDocument/2006/relationships/hyperlink" Target="https://anglicanmainstream.org/article/stonewall-helped-labour-draw-up-chilling-trans-law/" TargetMode="External"/><Relationship Id="rId12" Type="http://schemas.openxmlformats.org/officeDocument/2006/relationships/hyperlink" Target="https://www.stonewall.org.uk/news/government-fails-to-meet-timeline-to-ban-conversion-practices" TargetMode="External"/><Relationship Id="rId13" Type="http://schemas.openxmlformats.org/officeDocument/2006/relationships/hyperlink" Target="https://www.gov.uk/government/publications/draft-conversion-practices-bill/draft-final-stage-impact-assessment" TargetMode="External"/><Relationship Id="rId14" Type="http://schemas.openxmlformats.org/officeDocument/2006/relationships/hyperlink" Target="https://www.gov.uk/government/publications/draft-conversion-practices-bill/explanatory-notes" TargetMode="External"/><Relationship Id="rId15" Type="http://schemas.openxmlformats.org/officeDocument/2006/relationships/hyperlink" Target="https://researchbriefings.files.parliament.uk/documents/CBP-9972/CBP-997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