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Spain's Clubbing Scene Can’t Ignore Housing and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Club culture has long celebrated freedom, diversity and belonging, but Spain’s housing crisis and political tensions are testing what those values mean beyond the dancefloor. From eviction protests to the pressures facing music workers, the debate is about more than social media posts: it’s about the conditions that let nightlife communities exist at all.</w:t>
      </w:r>
      <w:r/>
    </w:p>
    <w:p>
      <w:pPr>
        <w:pStyle w:val="Heading2"/>
      </w:pPr>
      <w:r>
        <w:t>Essential Takeaways</w:t>
      </w:r>
      <w:r/>
      <w:r/>
    </w:p>
    <w:p>
      <w:pPr>
        <w:pStyle w:val="ListBullet"/>
        <w:spacing w:line="240" w:lineRule="auto"/>
        <w:ind w:left="720"/>
      </w:pPr>
      <w:r/>
      <w:r>
        <w:rPr>
          <w:b/>
        </w:rPr>
        <w:t>Housing hardship reaches the nightlife workforce:</w:t>
      </w:r>
      <w:r>
        <w:t xml:space="preserve"> DJs, technicians, photographers and promoters also face rising living costs and insecure work.</w:t>
      </w:r>
      <w:r/>
    </w:p>
    <w:p>
      <w:pPr>
        <w:pStyle w:val="ListBullet"/>
        <w:spacing w:line="240" w:lineRule="auto"/>
        <w:ind w:left="720"/>
      </w:pPr>
      <w:r/>
      <w:r>
        <w:rPr>
          <w:b/>
        </w:rPr>
        <w:t>A high-profile eviction fuelled wider debate:</w:t>
      </w:r>
      <w:r>
        <w:t xml:space="preserve"> The case of 87-year-old Maricarmen Abascal became a rallying point for housing campaigners.</w:t>
      </w:r>
      <w:r/>
    </w:p>
    <w:p>
      <w:pPr>
        <w:pStyle w:val="ListBullet"/>
        <w:spacing w:line="240" w:lineRule="auto"/>
        <w:ind w:left="720"/>
      </w:pPr>
      <w:r/>
      <w:r>
        <w:rPr>
          <w:b/>
        </w:rPr>
        <w:t>Protest moved beyond central Madrid:</w:t>
      </w:r>
      <w:r>
        <w:t xml:space="preserve"> After a solidarity camp in Sol, organisers looked towards building a broader neighbourhood movement.</w:t>
      </w:r>
      <w:r/>
    </w:p>
    <w:p>
      <w:pPr>
        <w:pStyle w:val="ListBullet"/>
        <w:spacing w:line="240" w:lineRule="auto"/>
        <w:ind w:left="720"/>
      </w:pPr>
      <w:r/>
      <w:r>
        <w:rPr>
          <w:b/>
        </w:rPr>
        <w:t>Club culture has queer roots:</w:t>
      </w:r>
      <w:r>
        <w:t xml:space="preserve"> Many dance spaces have offered communities facing exclusion a place for expression and connection.</w:t>
      </w:r>
      <w:r/>
    </w:p>
    <w:p>
      <w:pPr>
        <w:pStyle w:val="ListBullet"/>
        <w:spacing w:line="240" w:lineRule="auto"/>
        <w:ind w:left="720"/>
      </w:pPr>
      <w:r/>
      <w:r>
        <w:rPr>
          <w:b/>
        </w:rPr>
        <w:t>Cultural disputes are part of the picture:</w:t>
      </w:r>
      <w:r>
        <w:t xml:space="preserve"> Political rows over library books show how questions of identity and representation can reach local cultural life.</w:t>
      </w:r>
      <w:r/>
      <w:r/>
    </w:p>
    <w:p>
      <w:pPr>
        <w:pStyle w:val="Heading2"/>
      </w:pPr>
      <w:r>
        <w:t>Club culture is part of the world outside the dancefloor</w:t>
      </w:r>
      <w:r/>
    </w:p>
    <w:p>
      <w:r/>
      <w:r>
        <w:t>A club can feel like a temporary refuge: low light, heavy bass and a crowd moving as one. But the people keeping that room alive still have to pay rent, find reliable work and navigate the same social pressures as everyone else. Spain’s housing debate is therefore not distant from nightlife; it touches the people who build its scenes and the cities where they operate.</w:t>
      </w:r>
      <w:r/>
    </w:p>
    <w:p>
      <w:r/>
      <w:r>
        <w:t>The eviction of 87-year-old Maricarmen Abascal became a prominent focus for housing campaigners after she faced repeated attempts to remove her from her home. El País reported that her case helped turn an individual housing dispute into a wider public movement. That kind of story can be hard to square with a culture that promotes community while treating the conditions people live in as somebody else’s concern.</w:t>
      </w:r>
      <w:r/>
    </w:p>
    <w:p>
      <w:pPr>
        <w:pStyle w:val="Heading2"/>
      </w:pPr>
      <w:r>
        <w:t>The housing crisis reaches behind the decks</w:t>
      </w:r>
      <w:r/>
    </w:p>
    <w:p>
      <w:r/>
      <w:r>
        <w:t>The Sindicato de Inquilinas called for a general housing strike under the message that there should be no more cases like Maricarmen’s, according to El País. The appeal reflects a broader frustration: housing insecurity is not just a problem for tenants in headlines, but a daily strain for people trying to make a living in expensive cities.</w:t>
      </w:r>
      <w:r/>
    </w:p>
    <w:p>
      <w:r/>
      <w:r>
        <w:t>For independent music workers, the gap between creative ambition and financial stability can be particularly stark. DJs, sound technicians, photographers, designers and small promoters may all be part of the same cultural economy, yet regular contracts and dependable pay can remain elusive. Passion helps get a night off the ground, but it doesn’t cover the electricity bill.</w:t>
      </w:r>
      <w:r/>
    </w:p>
    <w:p>
      <w:r/>
      <w:r>
        <w:t>That’s why conversations about fair pay and secure housing belong in discussions about nightlife. A scene that depends on people working long hours for uncertain returns risks becoming less accessible to both its workers and its audiences.</w:t>
      </w:r>
      <w:r/>
    </w:p>
    <w:p>
      <w:pPr>
        <w:pStyle w:val="Heading2"/>
      </w:pPr>
      <w:r>
        <w:t>Why silence can feel louder than the music</w:t>
      </w:r>
      <w:r/>
    </w:p>
    <w:p>
      <w:r/>
      <w:r>
        <w:t>There’s no rule that every artist or venue must turn their social media feed into a political noticeboard. People respond to difficult events in different ways, and keeping a professional commitment doesn’t automatically signal indifference. Still, when promotional content carries on unchanged through a major public crisis, the contrast can prompt uncomfortable questions.</w:t>
      </w:r>
      <w:r/>
    </w:p>
    <w:p>
      <w:r/>
      <w:r>
        <w:t>In Madrid, a camp in Sol organised in solidarity with housing campaigners was eventually followed by efforts to build a wider movement in neighbourhoods, El País reported. That shift is a reminder that public attention isn’t confined to online statements or a single gathering. It can also take shape through sustained local organising, where people meet and work together beyond the most visible moment.</w:t>
      </w:r>
      <w:r/>
    </w:p>
    <w:p>
      <w:r/>
      <w:r>
        <w:t>For clubs and artists, a modest response might mean sharing reliable information, supporting a local initiative or making room for a conversation. It needn’t be a grand declaration. Sometimes the useful thing is simply to show that the world beyond the next booking hasn’t disappeared.</w:t>
      </w:r>
      <w:r/>
    </w:p>
    <w:p>
      <w:pPr>
        <w:pStyle w:val="Heading2"/>
      </w:pPr>
      <w:r>
        <w:t>Club culture’s roots make diversity more than a slogan</w:t>
      </w:r>
      <w:r/>
    </w:p>
    <w:p>
      <w:r/>
      <w:r>
        <w:t>The dancefloor’s promise of freedom didn’t appear from nowhere. The Victoria and Albert Museum’s Dundee material on club culture explores how queer communities have used nightlife and safe spaces for expression, connection and belonging. That history gives today’s diversity messaging a deeper meaning than a colourful poster or a seasonal campaign.</w:t>
      </w:r>
      <w:r/>
    </w:p>
    <w:p>
      <w:r/>
      <w:r>
        <w:t xml:space="preserve">At the same time, cultural decisions can become political flashpoints. El País reported that Vox blocked books including </w:t>
      </w:r>
      <w:r>
        <w:rPr>
          <w:i/>
        </w:rPr>
        <w:t>Barbie</w:t>
      </w:r>
      <w:r>
        <w:t xml:space="preserve"> and </w:t>
      </w:r>
      <w:r>
        <w:rPr>
          <w:i/>
        </w:rPr>
        <w:t>20,000 Species of Bees</w:t>
      </w:r>
      <w:r>
        <w:t xml:space="preserve"> from a library in Burriana, arguing that their themes were unsuitable. The dispute offers a concrete example of how arguments about gender, representation and public culture can reach institutions far beyond the club.</w:t>
      </w:r>
      <w:r/>
    </w:p>
    <w:p>
      <w:r/>
      <w:r>
        <w:t>Celebrating inclusion on a line-up matters, but it’s only part of the picture. If the people and communities who shaped dance culture face hostility elsewhere, then defending the values of openness and self-expression takes more than a slogan.</w:t>
      </w:r>
      <w:r/>
    </w:p>
    <w:p>
      <w:pPr>
        <w:pStyle w:val="Heading2"/>
      </w:pPr>
      <w:r>
        <w:t>Can nightlife keep dancing and pay attention?</w:t>
      </w:r>
      <w:r/>
    </w:p>
    <w:p>
      <w:r/>
      <w:r>
        <w:t>Spain’s public conversation has also been shaken by a deadly train crash in Toledo. The Associated Press reported that the collision killed dozens of people and prompted questions about its causes. In moments of collective loss, the choice to keep posting as usual can feel especially jarring, even when people are simply trying to continue with work and life.</w:t>
      </w:r>
      <w:r/>
    </w:p>
    <w:p>
      <w:r/>
      <w:r>
        <w:t>That doesn’t mean nightlife must stop whenever something serious happens. Music can offer comfort, release and a sense of togetherness. But there’s a difference between finding respite in a party and pretending that nothing beyond it matters.</w:t>
      </w:r>
      <w:r/>
    </w:p>
    <w:p>
      <w:r/>
      <w:r>
        <w:t>A healthier club scene may be one that holds both ideas at once: people can keep making music and gathering, while recognising the housing, labour and rights issues shaping their community. The beat can carry on; the awareness shouldn’t have to stop.</w:t>
      </w:r>
      <w:r/>
    </w:p>
    <w:p>
      <w:r/>
      <w:r>
        <w:t>Keep dancing, but leave room for the people and realities that make the scene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Paragraph 8: </w:t>
      </w:r>
      <w:hyperlink r:id="rId12">
        <w:r>
          <w:rPr>
            <w:color w:val="0000EE"/>
            <w:u w:val="single"/>
          </w:rPr>
          <w:t>[4]</w:t>
        </w:r>
      </w:hyperlink>
      <w:r>
        <w:t xml:space="preserve">- Paragraph 9: </w:t>
      </w:r>
      <w:hyperlink r:id="rId13">
        <w:r>
          <w:rPr>
            <w:color w:val="0000EE"/>
            <w:u w:val="single"/>
          </w:rPr>
          <w:t>[6]</w:t>
        </w:r>
      </w:hyperlink>
      <w:r>
        <w:t xml:space="preserve">- Paragraph 10: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5">
        <w:r>
          <w:rPr>
            <w:color w:val="0000EE"/>
            <w:u w:val="single"/>
          </w:rPr>
          <w:t>[5]</w:t>
        </w:r>
      </w:hyperlink>
      <w:r>
        <w:t xml:space="preserve">- Paragraph 13: </w:t>
      </w:r>
      <w:hyperlink r:id="rId15">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https://beatburguer.com/politica-polarizacion-y-crisis-generalizada-puede-el-clubbing-seguir-mirando-hacia-otro-lado-sin-avergonzarse/</w:t>
        </w:r>
      </w:hyperlink>
      <w:r>
        <w:t xml:space="preserve"> - Please view link - unable to able to access data</w:t>
      </w:r>
      <w:r/>
    </w:p>
    <w:p>
      <w:pPr>
        <w:pStyle w:val="ListNumber"/>
        <w:spacing w:line="240" w:lineRule="auto"/>
        <w:ind w:left="720"/>
      </w:pPr>
      <w:r/>
      <w:hyperlink r:id="rId10">
        <w:r>
          <w:rPr>
            <w:color w:val="0000EE"/>
            <w:u w:val="single"/>
          </w:rPr>
          <w:t>https://elpais.com/espana/madrid/2026-10-07/cronologia-del-caso-maricarmen-de-cuatro-intentos-de-desahucio-a-un-movimiento-nacional-por-la-vivienda.html</w:t>
        </w:r>
      </w:hyperlink>
      <w:r>
        <w:t xml:space="preserve"> - This report traces the eviction case of Maricarmen Abascal, an 87-year-old woman who had lived in her Retiro home for most of her life. It explains the dispute over the succession of her tenancy, the court decisions that eventually allowed the eviction to proceed, and the repeated attempts to remove her from the property. Although she continued paying rent, the landlord offered her a different home at a price her pension could not afford. The final eviction took place on 23 September 2026, when she was taken from the flat by ambulance to hospital. The story then follows the public response: demonstrations, the start of a housing-rights encampment in Puerta del Sol, and negotiations that briefly secured an agreement allowing her to return on a new tenancy. It also recounts the parliamentary defeat of two proposed housing decrees and the announcement of an early election. Abascal died in hospital on 7 October, before she could return home. The article provides a detailed chronology connecting her individual case with Spain’s wider housing debate, protests and planned general strike on 11 November.</w:t>
      </w:r>
      <w:r/>
    </w:p>
    <w:p>
      <w:pPr>
        <w:pStyle w:val="ListNumber"/>
        <w:spacing w:line="240" w:lineRule="auto"/>
        <w:ind w:left="720"/>
      </w:pPr>
      <w:r/>
      <w:hyperlink r:id="rId11">
        <w:r>
          <w:rPr>
            <w:color w:val="0000EE"/>
            <w:u w:val="single"/>
          </w:rPr>
          <w:t>https://elpais.com/economia/2026-10-07/el-sindicato-de-inquilinas-llama-a-la-huelga-general-por-la-vivienda-para-que-no-haya-una-maricarmen-mas.html</w:t>
        </w:r>
      </w:hyperlink>
      <w:r>
        <w:t xml:space="preserve"> - This article reports on housing campaigners’ call for a general strike on 11 November, following the eviction and death of Maricarmen Abascal. The Sindicato de Inquilinas presents the stoppage as a response to rising housing costs, stagnant wages and the difficulty many people face in securing a decent home. The report describes the emotional announcement of Abascal’s death during a press conference and quotes organisers who connect property speculation and rent pressures to worsening living conditions. The strike was backed by several unions, including CGT, CO.BAS and Solidaridad Obrera; the major unions CCOO and UGT also called for workers to mobilise around housing, wages and prices. The article outlines the breadth of the coalition and notes that not all unions supported the action. It places the strike in a politically consequential period, shortly before the start of the election campaign for the 29 November vote. The report supports the article’s account of housing activism and labour organising, while showing how Abascal’s case became a rallying point for a broader movement seeking policy changes and greater pressure on public authorities.</w:t>
      </w:r>
      <w:r/>
    </w:p>
    <w:p>
      <w:pPr>
        <w:pStyle w:val="ListNumber"/>
        <w:spacing w:line="240" w:lineRule="auto"/>
        <w:ind w:left="720"/>
      </w:pPr>
      <w:r/>
      <w:hyperlink r:id="rId12">
        <w:r>
          <w:rPr>
            <w:color w:val="0000EE"/>
            <w:u w:val="single"/>
          </w:rPr>
          <w:t>https://elpais.com/espana/madrid/2026-10-31/la-mayoria-de-las-comisiones-de-los-acampados-en-sol-se-retira-de-la-plaza-para-impulsar-un-movimiento-social-en-los-barrios.html</w:t>
        </w:r>
      </w:hyperlink>
      <w:r>
        <w:t xml:space="preserve"> - This report describes a turning point for the housing-rights encampment in Madrid’s Puerta del Sol. After more than a month, many of the organisers and committees began leaving the square, intending to move their campaigning into neighbourhoods and build a wider social movement. Their next priority was preparing for the 11 November general strike. The decision followed warnings from the Government Delegation that the encampment might be brought to an end, as well as internal discussions about how to continue the campaign. The article notes that some tents and several groups remained in the square, including people involved in communications, care, culture and homelessness support. It also recounts how the protest began after Maricarmen Abascal was evicted from her home at the age of 87 and later died in hospital. The encampment brought housing demands into public debate and helped prompt parliamentary consideration of housing decrees, which were ultimately rejected. The report is useful context for the article’s discussion of the Sol protest, state authorities’ response, collective action and the links between the housing crisis and wider political organising.</w:t>
      </w:r>
      <w:r/>
    </w:p>
    <w:p>
      <w:pPr>
        <w:pStyle w:val="ListNumber"/>
        <w:spacing w:line="240" w:lineRule="auto"/>
        <w:ind w:left="720"/>
      </w:pPr>
      <w:r/>
      <w:hyperlink r:id="rId15">
        <w:r>
          <w:rPr>
            <w:color w:val="0000EE"/>
            <w:u w:val="single"/>
          </w:rPr>
          <w:t>https://apnews.com/article/spain-train-crash-toledo-causes-unions-669ef8c0c12c8c9b720e721e7532ccbb</w:t>
        </w:r>
      </w:hyperlink>
      <w:r>
        <w:t xml:space="preserve"> - The Associated Press examines Spain’s deadly train collision near Urda, Toledo, and the unresolved questions about its causes. The crash killed at least 69 people, according to the report, and came months after a separate collision on the Madrid–Seville route killed 46. The transport minister attributed much of the Urda disaster to a traffic controller’s judgement, while railway unions pointed to deteriorating working conditions and heavy workloads for controllers. The article describes the ongoing investigation and explains how a failure in a communications system affected the railway’s safety arrangements. It also places the accidents in the context of Spain’s high-speed rail network, which had previously been regarded as a major public-transport success. The report supports the factual references to the Urda and Adamuz tragedies and highlights the human impact on families and communities. It does not establish a final cause: investigators were still examining evidence, and the competing explanations were part of an active inquiry. Its account therefore provides contemporary reporting on the events while distinguishing official claims, union concerns and unresolved questions.</w:t>
      </w:r>
      <w:r/>
    </w:p>
    <w:p>
      <w:pPr>
        <w:pStyle w:val="ListNumber"/>
        <w:spacing w:line="240" w:lineRule="auto"/>
        <w:ind w:left="720"/>
      </w:pPr>
      <w:r/>
      <w:hyperlink r:id="rId13">
        <w:r>
          <w:rPr>
            <w:color w:val="0000EE"/>
            <w:u w:val="single"/>
          </w:rPr>
          <w:t>https://www.vam.ac.uk/dundee/articles/dancing-in-safe-spaces-exploring-club-cultures-queer-foundations</w:t>
        </w:r>
      </w:hyperlink>
      <w:r>
        <w:t xml:space="preserve"> - This article from the Victoria and Albert Museum explores the queer foundations of club culture, focusing especially on New York’s dance spaces of the 1970s and 1980s. It describes how parties and clubs created room for self-expression, safety and collective belonging for people who were marginalised elsewhere. The article traces connections between David Mancuso’s Loft parties, Paradise Garage and later dance cultures, highlighting the importance of Black and LGBTQ+ communities in shaping nightlife. Paradise Garage, attended largely by gay Black men and other LGBTQ+ people, became influential through its music, DJ culture and distinctive atmosphere. The piece also discusses the do-it-yourself spirit of these venues: spaces created with limited resources but powerful ideas, which could grow into influential cultural institutions. It argues that contemporary dance floors inherit histories often overlooked when electronic music is presented as a more conventional or whitewashed story. This museum account supports the publication’s point that club culture has roots in communities whose freedom and visibility have often been contested. It also explains why inclusion and belonging are not merely promotional themes, but part of the historical significance of nightlife.</w:t>
      </w:r>
      <w:r/>
    </w:p>
    <w:p>
      <w:pPr>
        <w:pStyle w:val="ListNumber"/>
        <w:spacing w:line="240" w:lineRule="auto"/>
        <w:ind w:left="720"/>
      </w:pPr>
      <w:r/>
      <w:hyperlink r:id="rId14">
        <w:r>
          <w:rPr>
            <w:color w:val="0000EE"/>
            <w:u w:val="single"/>
          </w:rPr>
          <w:t>https://elpais.com/cultura/2024-05-21/vox-veta-barbie-y-20000-especies-de-abejas-en-la-biblioteca-de-burriana-por-abordar-el-empoderamiento-de-la-mujer-y-la-transexualidad.html</w:t>
        </w:r>
      </w:hyperlink>
      <w:r>
        <w:t xml:space="preserve"> - This report covers a dispute in Burriana, Castellón, after the local culture councillor from Vox declined to authorise the purchase of the films Barbie and 20,000 Species of Bees for the municipal library. The councillor cited what he described as their gender and LGBTQ+ ideology; the report explains that the films address women’s empowerment and a transgender child’s experience. The decision drew criticism from Compromís and prompted questions about library selection policy and cultural censorship. The article also describes earlier changes to the library’s subscriptions and youth book collection under the local governing arrangement between Vox and the People’s Party. The mayor, from the PP, later said that both films would be acquired and that the library should offer varied material without restrictions based on gender or LGBTQ+ content. The report illustrates how disputes over culture and representation can occur in local institutions, rather than only in national politics. It supports the publication’s example of contested LGBTQ+ cultural material, while making clear that the attempted exclusion was reversed after public criticism and the mayor’s intervention.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tburguer.com/politica-polarizacion-y-crisis-generalizada-puede-el-clubbing-seguir-mirando-hacia-otro-lado-sin-avergonzarse/" TargetMode="External"/><Relationship Id="rId10" Type="http://schemas.openxmlformats.org/officeDocument/2006/relationships/hyperlink" Target="https://elpais.com/espana/madrid/2026-10-07/cronologia-del-caso-maricarmen-de-cuatro-intentos-de-desahucio-a-un-movimiento-nacional-por-la-vivienda.html" TargetMode="External"/><Relationship Id="rId11" Type="http://schemas.openxmlformats.org/officeDocument/2006/relationships/hyperlink" Target="https://elpais.com/economia/2026-10-07/el-sindicato-de-inquilinas-llama-a-la-huelga-general-por-la-vivienda-para-que-no-haya-una-maricarmen-mas.html" TargetMode="External"/><Relationship Id="rId12" Type="http://schemas.openxmlformats.org/officeDocument/2006/relationships/hyperlink" Target="https://elpais.com/espana/madrid/2026-10-31/la-mayoria-de-las-comisiones-de-los-acampados-en-sol-se-retira-de-la-plaza-para-impulsar-un-movimiento-social-en-los-barrios.html" TargetMode="External"/><Relationship Id="rId13" Type="http://schemas.openxmlformats.org/officeDocument/2006/relationships/hyperlink" Target="https://www.vam.ac.uk/dundee/articles/dancing-in-safe-spaces-exploring-club-cultures-queer-foundations" TargetMode="External"/><Relationship Id="rId14" Type="http://schemas.openxmlformats.org/officeDocument/2006/relationships/hyperlink" Target="https://elpais.com/cultura/2024-05-21/vox-veta-barbie-y-20000-especies-de-abejas-en-la-biblioteca-de-burriana-por-abordar-el-empoderamiento-de-la-mujer-y-la-transexualidad.html" TargetMode="External"/><Relationship Id="rId15" Type="http://schemas.openxmlformats.org/officeDocument/2006/relationships/hyperlink" Target="https://apnews.com/article/spain-train-crash-toledo-causes-unions-669ef8c0c12c8c9b720e721e7532ccb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