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Family Violence Against LTBI+ Women Needs Better Recognition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Spanish study highlights how lesbian, trans, bisexual and intersex women can face violence not only in public, but in the places meant to feel safest: home and intimate relationships. Its findings matter because abuse within families and couples can be persistent, difficult to disclose and poorly served by one-size-fits-all support.</w:t>
      </w:r>
      <w:r/>
    </w:p>
    <w:p>
      <w:pPr>
        <w:pStyle w:val="Heading2"/>
      </w:pPr>
      <w:r>
        <w:t>Home can become the most dangerous place</w:t>
      </w:r>
      <w:r/>
    </w:p>
    <w:p>
      <w:r/>
      <w:r>
        <w:t xml:space="preserve">The sharpest finding is also the hardest to sit with: for LTBI+ women in Spain, the family home and intimate relationships are prominent settings for violence. A pioneering study by Spain's State Federation of LGTBI+ groups and researchers at Complutense University of Madrid describes abuse that can be physical, sexual, psychological or economic, and may begin in childhood. (Sources </w:t>
      </w:r>
      <w:hyperlink r:id="rId9">
        <w:r>
          <w:rPr>
            <w:color w:val="0000EE"/>
            <w:u w:val="single"/>
          </w:rPr>
          <w:t>[2]</w:t>
        </w:r>
      </w:hyperlink>
      <w:r>
        <w:t xml:space="preserve">, </w:t>
      </w:r>
      <w:hyperlink r:id="rId10">
        <w:r>
          <w:rPr>
            <w:color w:val="0000EE"/>
            <w:u w:val="single"/>
          </w:rPr>
          <w:t>[3]</w:t>
        </w:r>
      </w:hyperlink>
      <w:r>
        <w:t>)</w:t>
      </w:r>
      <w:r/>
    </w:p>
    <w:p>
      <w:r/>
      <w:r>
        <w:t xml:space="preserve">That changes the familiar picture of anti-LGBTQ+ violence as something mainly encountered in the street. For these women, the people and places expected to offer care can instead become sources of control or rejection. As the federation's president Paula Iglesias says in the report, being denied safety at home can leave victims without a refuge when illness or housing problems arise. (Sources </w:t>
      </w:r>
      <w:hyperlink r:id="rId9">
        <w:r>
          <w:rPr>
            <w:color w:val="0000EE"/>
            <w:u w:val="single"/>
          </w:rPr>
          <w:t>[2]</w:t>
        </w:r>
      </w:hyperlink>
      <w:r>
        <w:t xml:space="preserve">, </w:t>
      </w:r>
      <w:hyperlink r:id="rId11">
        <w:r>
          <w:rPr>
            <w:color w:val="0000EE"/>
            <w:u w:val="single"/>
          </w:rPr>
          <w:t>[5]</w:t>
        </w:r>
      </w:hyperlink>
      <w:r>
        <w:t>)</w:t>
      </w:r>
      <w:r/>
    </w:p>
    <w:p>
      <w:pPr>
        <w:pStyle w:val="Heading2"/>
      </w:pPr>
      <w:r>
        <w:t>Abuse can be used to enforce expectations</w:t>
      </w:r>
      <w:r/>
    </w:p>
    <w:p>
      <w:r/>
      <w:r>
        <w:t xml:space="preserve">The study frames this violence as more than individual cruelty. It can punish women for departing from expectations about gender and heterosexuality, with pressure to conceal their identity, degrading remarks, coercion and abuse among the forms described. That combination of sexism and anti-LGBTQI+ prejudice can shape both who is targeted and how the harm is inflicted. (Sources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w:t>
      </w:r>
      <w:r/>
    </w:p>
    <w:p>
      <w:r/>
      <w:r>
        <w:t xml:space="preserve">The scale of the problem is difficult to ignore. A Spanish Institute of Women study reported that more than 80% of lesbian and bisexual women surveyed had experienced everyday violence linked to their sexual orientation. That figure does not mean every experience is the same, but it underlines why broad averages can hide the particular risks facing different groups of women. (Sources </w:t>
      </w:r>
      <w:hyperlink r:id="rId10">
        <w:r>
          <w:rPr>
            <w:color w:val="0000EE"/>
            <w:u w:val="single"/>
          </w:rPr>
          <w:t>[3]</w:t>
        </w:r>
      </w:hyperlink>
      <w:r>
        <w:t xml:space="preserve">, </w:t>
      </w:r>
      <w:hyperlink r:id="rId12">
        <w:r>
          <w:rPr>
            <w:color w:val="0000EE"/>
            <w:u w:val="single"/>
          </w:rPr>
          <w:t>[4]</w:t>
        </w:r>
      </w:hyperlink>
      <w:r>
        <w:t>)</w:t>
      </w:r>
      <w:r/>
    </w:p>
    <w:p>
      <w:pPr>
        <w:pStyle w:val="Heading2"/>
      </w:pPr>
      <w:r>
        <w:t>Intimate-partner abuse can stay hidden</w:t>
      </w:r>
      <w:r/>
    </w:p>
    <w:p>
      <w:r/>
      <w:r>
        <w:t xml:space="preserve">Violence between women in same-sex relationships is another part of the picture that can be overlooked. Spain's 028 helpline, which supports people affected by anti-LGBTQI+ discrimination, recorded violence within same-sex relationships as its second most common reason for calls in 2025. A separate study reported that 42% of women in female couples had experienced controlling, manipulative or abusive behaviour. (Sources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t>)</w:t>
      </w:r>
      <w:r/>
    </w:p>
    <w:p>
      <w:r/>
      <w:r>
        <w:t xml:space="preserve">The point isn't that abuse follows one script. The report and legal experts note that gender stereotypes can affect relationships between women too, while the abuse may take emotional or psychological forms that are harder to spot from the outside. A calm-looking relationship can still be shaped by surveillance, isolation or pressure. (Sources </w:t>
      </w:r>
      <w:hyperlink r:id="rId9">
        <w:r>
          <w:rPr>
            <w:color w:val="0000EE"/>
            <w:u w:val="single"/>
          </w:rPr>
          <w:t>[2]</w:t>
        </w:r>
      </w:hyperlink>
      <w:r>
        <w:t xml:space="preserve">, </w:t>
      </w:r>
      <w:hyperlink r:id="rId14">
        <w:r>
          <w:rPr>
            <w:color w:val="0000EE"/>
            <w:u w:val="single"/>
          </w:rPr>
          <w:t>[7]</w:t>
        </w:r>
      </w:hyperlink>
      <w:r>
        <w:t>)</w:t>
      </w:r>
      <w:r/>
    </w:p>
    <w:p>
      <w:pPr>
        <w:pStyle w:val="Heading2"/>
      </w:pPr>
      <w:r>
        <w:t>Risk extends beyond the home</w:t>
      </w:r>
      <w:r/>
    </w:p>
    <w:p>
      <w:r/>
      <w:r>
        <w:t xml:space="preserve">Education and work are also identified as high-risk settings, while healthcare, social circles, leisure spaces and media present other possible sources of harm. The study argues that institutions often treated as safe or neutral can be hostile for LTBI+ women, particularly when staff lack relevant understanding or dismiss what victims report. (Sources </w:t>
      </w:r>
      <w:hyperlink r:id="rId9">
        <w:r>
          <w:rPr>
            <w:color w:val="0000EE"/>
            <w:u w:val="single"/>
          </w:rPr>
          <w:t>[2]</w:t>
        </w:r>
      </w:hyperlink>
      <w:r>
        <w:t xml:space="preserve">, </w:t>
      </w:r>
      <w:hyperlink r:id="rId10">
        <w:r>
          <w:rPr>
            <w:color w:val="0000EE"/>
            <w:u w:val="single"/>
          </w:rPr>
          <w:t>[3]</w:t>
        </w:r>
      </w:hyperlink>
      <w:r>
        <w:t>)</w:t>
      </w:r>
      <w:r/>
    </w:p>
    <w:p>
      <w:r/>
      <w:r>
        <w:t xml:space="preserve">This distinction matters because support that works for one person may not work for another. The report calls for an intersectional approach and tailored protocols, rather than assuming all women experience violence in the same way. In practice, that means listening without judgement, taking disclosures seriously and ensuring services understand the role that prejudice can play. (Sources </w:t>
      </w:r>
      <w:hyperlink r:id="rId9">
        <w:r>
          <w:rPr>
            <w:color w:val="0000EE"/>
            <w:u w:val="single"/>
          </w:rPr>
          <w:t>[2]</w:t>
        </w:r>
      </w:hyperlink>
      <w:r>
        <w:t xml:space="preserve">, </w:t>
      </w:r>
      <w:hyperlink r:id="rId12">
        <w:r>
          <w:rPr>
            <w:color w:val="0000EE"/>
            <w:u w:val="single"/>
          </w:rPr>
          <w:t>[4]</w:t>
        </w:r>
      </w:hyperlink>
      <w:r>
        <w:t>)</w:t>
      </w:r>
      <w:r/>
    </w:p>
    <w:p>
      <w:pPr>
        <w:pStyle w:val="Heading2"/>
      </w:pPr>
      <w:r>
        <w:t>Better support starts with being believed</w:t>
      </w:r>
      <w:r/>
    </w:p>
    <w:p>
      <w:r/>
      <w:r>
        <w:t xml:space="preserve">For anyone supporting a friend or relative, the first steps are simple but meaningful: listen, avoid questioning someone's identity or credibility, and ask what kind of help feels safe. If there is immediate danger, contact emergency services; otherwise, a specialist support service can help discuss options without forcing a person to make decisions before they're ready. (Sources </w:t>
      </w:r>
      <w:hyperlink r:id="rId9">
        <w:r>
          <w:rPr>
            <w:color w:val="0000EE"/>
            <w:u w:val="single"/>
          </w:rPr>
          <w:t>[2]</w:t>
        </w:r>
      </w:hyperlink>
      <w:r>
        <w:t xml:space="preserve">, </w:t>
      </w:r>
      <w:hyperlink r:id="rId13">
        <w:r>
          <w:rPr>
            <w:color w:val="0000EE"/>
            <w:u w:val="single"/>
          </w:rPr>
          <w:t>[6]</w:t>
        </w:r>
      </w:hyperlink>
      <w:r>
        <w:t>)</w:t>
      </w:r>
      <w:r/>
    </w:p>
    <w:p>
      <w:r/>
      <w:r>
        <w:t xml:space="preserve">Recognising violence is not a cure, but it can be the beginning of a safer response. The study's central message is clear: support must reach into the home, relationships and institutions, not just the public spaces where prejudice is easiest to see. (Sources </w:t>
      </w:r>
      <w:hyperlink r:id="rId9">
        <w:r>
          <w:rPr>
            <w:color w:val="0000EE"/>
            <w:u w:val="single"/>
          </w:rPr>
          <w:t>[2]</w:t>
        </w:r>
      </w:hyperlink>
      <w:r>
        <w:t xml:space="preserve">, </w:t>
      </w:r>
      <w:hyperlink r:id="rId11">
        <w:r>
          <w:rPr>
            <w:color w:val="0000EE"/>
            <w:u w:val="single"/>
          </w:rPr>
          <w:t>[5]</w:t>
        </w:r>
      </w:hyperlink>
      <w:r>
        <w:t>)</w:t>
      </w:r>
      <w:r/>
    </w:p>
    <w:p>
      <w:r/>
      <w:r>
        <w:t>Choose support that listens, understands and puts safety first.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[3]</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https://elpais.com/sociedad/lgtb/2026-11-05/las-mujeres-ltbi-sufren-mas-violencia-en-el-seno-de-la-familia-y-de-la-pareja-es-devastador-priva-a-las-victimas-de-un-hogar-seguro.html</w:t>
        </w:r>
      </w:hyperlink>
      <w:r>
        <w:t xml:space="preserve"> - Please view link - unable to able to access data</w:t>
      </w:r>
      <w:r/>
    </w:p>
    <w:p>
      <w:pPr>
        <w:pStyle w:val="ListNumber"/>
        <w:spacing w:line="240" w:lineRule="auto"/>
        <w:ind w:left="720"/>
      </w:pPr>
      <w:r/>
      <w:hyperlink r:id="rId9">
        <w:r>
          <w:rPr>
            <w:color w:val="0000EE"/>
            <w:u w:val="single"/>
          </w:rPr>
          <w:t>https://elpais.com/sociedad/lgtb/2026-11-05/las-mujeres-ltbi-sufren-mas-violencia-en-el-seno-de-la-familia-y-de-la-pareja-es-devastador-priva-a-las-victimas-de-un-hogar-seguro.html</w:t>
        </w:r>
      </w:hyperlink>
      <w:r>
        <w:t xml:space="preserve"> - This report describes a study by Spain’s State Federation of LGTBI+ organisations and the Complutense University of Madrid on violence against lesbian, trans, intersex and bisexual women. It says the violence they experience has specific features linked to the intersection of sexism, structural male dominance and anti-LGBTI prejudice. Family relationships and intimate partnerships are identified as particularly important settings: the study calls the family a starting point for enforcing social norms and notes that abuse can begin in childhood. Reported forms include physical, sexual, psychological and economic abuse, such as pressure to conceal identity, rejection and controlling behaviour. The article contrasts this pattern with violence against LGBTI people generally, for whom public spaces are reported as a leading setting for hate incidents. It also stresses that family abuse can be continuous and can deprive victims of a safe home. Other risk settings include education and work, alongside healthcare, leisure and some religious, digital and activist environments. The article cites research by Spain’s Women’s Institute indicating that more than 80 per cent of lesbian and bisexual women surveyed had experienced violence related to sexual orientation. It also refers to calls for intersectional analysis, tailored protocols and better institutional support for victims.</w:t>
      </w:r>
      <w:r/>
    </w:p>
    <w:p>
      <w:pPr>
        <w:pStyle w:val="ListNumber"/>
        <w:spacing w:line="240" w:lineRule="auto"/>
        <w:ind w:left="720"/>
      </w:pPr>
      <w:r/>
      <w:hyperlink r:id="rId10">
        <w:r>
          <w:rPr>
            <w:color w:val="0000EE"/>
            <w:u w:val="single"/>
          </w:rPr>
          <w:t>https://www.inmujeres.gob.es/actualidad/noticias/2025/EstudioMujeresLesbianasBisexuales.htm</w:t>
        </w:r>
      </w:hyperlink>
      <w:r>
        <w:t xml:space="preserve"> - This announcement from Spain’s Institute of Women presents findings from its study of lesbian and bisexual women in Spain, based on 4,362 participants. It reports that 81.9 per cent said they had experienced some form of violence because of their sexual orientation. Verbal and psychological behaviours were most commonly reported: inappropriate comments, disrespectful treatment and intimidating looks. The announcement also notes that reported exposure to violence rose with greater visibility. For instance, inappropriate comments were reported more often by women who said they were usually or always visible than by those who were never visible. The study found increased risk among women whose gender expression was more masculine, challenging heteronormative expectations. Beyond violence, the announcement discusses support networks and representation. Many respondents said they had lacked role models when first understanding their orientation, particularly older participants. Friends were the most frequently identified source of support, while family support was less common. Schools were not widely perceived as safe places for visibility, in contrast with universities. The Institute frames these findings as evidence that gender and sexual-orientation inequalities interact, and says research and policy should recognise the particular circumstances of lesbian and bisexual women, including differences related to age, disability, racialisation, migration and rural residence.</w:t>
      </w:r>
      <w:r/>
    </w:p>
    <w:p>
      <w:pPr>
        <w:pStyle w:val="ListNumber"/>
        <w:spacing w:line="240" w:lineRule="auto"/>
        <w:ind w:left="720"/>
      </w:pPr>
      <w:r/>
      <w:hyperlink r:id="rId12">
        <w:r>
          <w:rPr>
            <w:color w:val="0000EE"/>
            <w:u w:val="single"/>
          </w:rPr>
          <w:t>https://www.inmujeres.gob.es/areasTematicas/AreaEstudiosInvestigacion/docs/Estudios/MujeresLesbianasBisexuales.pdf</w:t>
        </w:r>
      </w:hyperlink>
      <w:r>
        <w:t xml:space="preserve"> - This research report by Spain’s Institute of Women examines the experiences of lesbian and bisexual women, including their perceptions of violence and discrimination. It reports that 81.9 per cent of participants identified having experienced some kind of violence because they were lesbian or bisexual. Verbal and psychological forms were most prevalent: 71 per cent reported inappropriate comments, 54.1 per cent disrespect and 43 per cent intimidating looks. The report also records insults, sexual harassment, sexual violence and physical incidents, with frequencies varying by type of abuse. Some groups faced heightened exposure, including younger women, women with disabilities and those with fewer economic resources. The study identifies differences between lesbian and bisexual respondents: lesbian participants reported higher levels on several verbal or psychological measures, while bisexual women reported somewhat higher rates of sexual harassment and sexual violence. The report additionally discusses perceived unequal treatment and social rejection. Its broader approach considers how orientation intersects with other aspects of women’s lives, including motherhood, age and access to support. The findings offer evidence for claims that violence is not experienced uniformly and that research and services should account for different patterns and needs, rather than treating lesbian and bisexual women as a single, indistinguishable group.</w:t>
      </w:r>
      <w:r/>
    </w:p>
    <w:p>
      <w:pPr>
        <w:pStyle w:val="ListNumber"/>
        <w:spacing w:line="240" w:lineRule="auto"/>
        <w:ind w:left="720"/>
      </w:pPr>
      <w:r/>
      <w:hyperlink r:id="rId11">
        <w:r>
          <w:rPr>
            <w:color w:val="0000EE"/>
            <w:u w:val="single"/>
          </w:rPr>
          <w:t>https://felgtbi.org/wp-content/uploads/2026/04/Final_odio26.pdf</w:t>
        </w:r>
      </w:hyperlink>
      <w:r>
        <w:t xml:space="preserve"> - This 2026 report from Spain’s State Federation of LGTBI+ organisations examines hate and discrimination affecting LGTBI+ people. It discusses how multiple forms of marginalisation can combine, increasing vulnerability to hostility, insecurity and economic hardship. The report also considers reporting and access to support. It says many people who experience hate do not notify the authorities, and identifies under-reporting as a continuing concern. Among LGTBI+ people who had experienced a hate incident, the report states that 41 per cent sought help from an LGTBI+ organisation; some of those people subsequently reported the incident, while others did not. Women in the community were especially unlikely to report, according to the report’s figures. It recommends improving police training, reviewing procedures for recording hate incidents and building trust so that victims can seek help without fear of discrimination or further harm. The report argues that prevention strategies should reflect the specific circumstances of LGTBI+ people and the effects of intersecting identities. Its findings provide wider context for the article’s distinction between violence directed at LGTBI+ people generally and risks that may be especially acute for particular groups, including women and trans people.</w:t>
      </w:r>
      <w:r/>
    </w:p>
    <w:p>
      <w:pPr>
        <w:pStyle w:val="ListNumber"/>
        <w:spacing w:line="240" w:lineRule="auto"/>
        <w:ind w:left="720"/>
      </w:pPr>
      <w:r/>
      <w:hyperlink r:id="rId13">
        <w:r>
          <w:rPr>
            <w:color w:val="0000EE"/>
            <w:u w:val="single"/>
          </w:rPr>
          <w:t>https://www.igualdad.gob.es/comunicacion/sala-de-prensa/el-servicio-028-del-ministerio-de-igualdad-realiza-23-523-atenciones-hasta-finales-de-julio-desde-su-puesta-en-marcha/</w:t>
        </w:r>
      </w:hyperlink>
      <w:r>
        <w:t xml:space="preserve"> - This announcement from Spain’s Ministry of Equality describes the national 028 service, which offers information and support concerning LGTBI-phobic discrimination and violence. It reports activity figures since the service began in July 2023, including a rise in the number of contacts during its second year. The service can be accessed by telephone, chat and email, and the ministry says it operates around the clock throughout the year. It is national, free, confidential, anonymous and available in several languages; urgent calls can be referred to emergency services. The announcement also explains the government’s view that the service helps people obtain information and support and improves awareness of violence and discrimination affecting LGTBI+ people. It does not provide the article’s specific claim that violence between same-sex partners was the second most frequent reason for calls in 2025, but it corroborates the existence, purpose and availability of the 028 service mentioned in the article. The ministry’s figures and description are useful context for understanding how victims can seek assistance and how the state service fits into broader support and referral arrangements.</w:t>
      </w:r>
      <w:r/>
    </w:p>
    <w:p>
      <w:pPr>
        <w:pStyle w:val="ListNumber"/>
        <w:spacing w:line="240" w:lineRule="auto"/>
        <w:ind w:left="720"/>
      </w:pPr>
      <w:r/>
      <w:hyperlink r:id="rId14">
        <w:r>
          <w:rPr>
            <w:color w:val="0000EE"/>
            <w:u w:val="single"/>
          </w:rPr>
          <w:t>https://media.lavozdegalicia.es/noticia/vigo/2026/09/15/estudio-dice-42-mujeres-pareja-femenina-sufrido-violencia/0003_202609V15C4993.htm</w:t>
        </w:r>
      </w:hyperlink>
      <w:r>
        <w:t xml:space="preserve"> - This report covers a study by Nós Mesmas, an organisation supporting lesbian and bisexual women and trans and non-binary people in Galicia. The study surveyed 112 women who had been in relationships with women. It found that 42 per cent said they had experienced violence within a relationship, while a further 14 per cent were unsure whether what they had experienced counted as abuse. The article describes this as violence between partners of the same gender, often termed intragender violence. It highlights a gap between knowing that such abuse exists and being able to identify it in one’s own relationship. The organisation warns that difficulty naming an experience may delay seeking support and help keep the violence invisible. The report also discusses forms of abuse that may be specific or particularly relevant in same-sex relationships, including manipulation using a person’s sexual identity. These findings support the article’s point that intimate-partner violence can affect lesbian couples and may be under-recognised. The survey is regional and relatively small, so its results should not be treated as a national estimate; nevertheless, it provides directly relevant evidence about experiences and recognition of abuse among women who have had female partners.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pais.com/sociedad/lgtb/2026-11-05/las-mujeres-ltbi-sufren-mas-violencia-en-el-seno-de-la-familia-y-de-la-pareja-es-devastador-priva-a-las-victimas-de-un-hogar-seguro.html" TargetMode="External"/><Relationship Id="rId10" Type="http://schemas.openxmlformats.org/officeDocument/2006/relationships/hyperlink" Target="https://www.inmujeres.gob.es/actualidad/noticias/2025/EstudioMujeresLesbianasBisexuales.htm" TargetMode="External"/><Relationship Id="rId11" Type="http://schemas.openxmlformats.org/officeDocument/2006/relationships/hyperlink" Target="https://felgtbi.org/wp-content/uploads/2026/04/Final_odio26.pdf" TargetMode="External"/><Relationship Id="rId12" Type="http://schemas.openxmlformats.org/officeDocument/2006/relationships/hyperlink" Target="https://www.inmujeres.gob.es/areasTematicas/AreaEstudiosInvestigacion/docs/Estudios/MujeresLesbianasBisexuales.pdf" TargetMode="External"/><Relationship Id="rId13" Type="http://schemas.openxmlformats.org/officeDocument/2006/relationships/hyperlink" Target="https://www.igualdad.gob.es/comunicacion/sala-de-prensa/el-servicio-028-del-ministerio-de-igualdad-realiza-23-523-atenciones-hasta-finales-de-julio-desde-su-puesta-en-marcha/" TargetMode="External"/><Relationship Id="rId14" Type="http://schemas.openxmlformats.org/officeDocument/2006/relationships/hyperlink" Target="https://media.lavozdegalicia.es/noticia/vigo/2026/09/15/estudio-dice-42-mujeres-pareja-femenina-sufrido-violencia/0003_202609V15C4993.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