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UK LGBTQ+ Charity Funding Falls as Demand for Support Rises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charities across the UK are facing a stark squeeze: new research found funding fell in real terms between 2023 and 2025, while more people sought help. The figures matter because local groups often provide vital support, yet much of the sector’s funding comes from a small pool of backers.</w:t>
      </w:r>
      <w:r/>
    </w:p>
    <w:p>
      <w:pPr>
        <w:pStyle w:val="Heading2"/>
      </w:pPr>
      <w:r>
        <w:t>More people need support, but funding has slipped</w:t>
      </w:r>
      <w:r/>
    </w:p>
    <w:p>
      <w:r/>
      <w:r>
        <w:t xml:space="preserve">The pressure is written in two numbers: funding for LGBTQ+ organisations fell by 8.6% in real terms between 2023 and 2025, while 72% of organisations surveyed reported more people seeking support. For charities already working with limited resources, that gap is more than an accounting concern. It can mean harder choices about what services they can keep running. </w:t>
      </w:r>
      <w:hyperlink r:id="rId9">
        <w:r>
          <w:rPr>
            <w:color w:val="0000EE"/>
            <w:u w:val="single"/>
          </w:rPr>
          <w:t>[2]</w:t>
        </w:r>
      </w:hyperlink>
      <w:r>
        <w:t xml:space="preserve">, </w:t>
      </w:r>
      <w:hyperlink r:id="rId10">
        <w:r>
          <w:rPr>
            <w:color w:val="0000EE"/>
            <w:u w:val="single"/>
          </w:rPr>
          <w:t>[3]</w:t>
        </w:r>
      </w:hyperlink>
      <w:r/>
    </w:p>
    <w:p>
      <w:r/>
      <w:r>
        <w:t xml:space="preserve">The LGBT+ Fund and Consortium’s research examined more than 770 LGBQ+ voluntary and community organisations. It identified £53.3 million in funding in 2025, equivalent to 5p of every £100 donated to charities across the UK, down from 6p two years earlier. </w:t>
      </w:r>
      <w:hyperlink r:id="rId10">
        <w:r>
          <w:rPr>
            <w:color w:val="0000EE"/>
            <w:u w:val="single"/>
          </w:rPr>
          <w:t>[3]</w:t>
        </w:r>
      </w:hyperlink>
      <w:r>
        <w:t xml:space="preserve">, </w:t>
      </w:r>
      <w:hyperlink r:id="rId11">
        <w:r>
          <w:rPr>
            <w:color w:val="0000EE"/>
            <w:u w:val="single"/>
          </w:rPr>
          <w:t>[5]</w:t>
        </w:r>
      </w:hyperlink>
      <w:r/>
    </w:p>
    <w:p>
      <w:pPr>
        <w:pStyle w:val="Heading2"/>
      </w:pPr>
      <w:r>
        <w:t>A small group of funders carries much of the weight</w:t>
      </w:r>
      <w:r/>
    </w:p>
    <w:p>
      <w:r/>
      <w:r>
        <w:t xml:space="preserve">Funding is also concentrated: just 20 funders accounted for 88% of the identified support for the sector. That creates a clear vulnerability if a few donors change their priorities, particularly for organisations with little room to absorb a sudden shortfall. </w:t>
      </w:r>
      <w:hyperlink r:id="rId10">
        <w:r>
          <w:rPr>
            <w:color w:val="0000EE"/>
            <w:u w:val="single"/>
          </w:rPr>
          <w:t>[3]</w:t>
        </w:r>
      </w:hyperlink>
      <w:r/>
    </w:p>
    <w:p>
      <w:r/>
      <w:r>
        <w:t xml:space="preserve">The figures make the case for a broader funding base, rather than relying on a handful of organisations to keep services afloat. LGBT+ Consortium describes the LGBT+ Fund as part of its work to support and develop LGBT+ organisations, while social enterprise research has explored whether social investment could help address the funding gap. </w:t>
      </w:r>
      <w:hyperlink r:id="rId12">
        <w:r>
          <w:rPr>
            <w:color w:val="0000EE"/>
            <w:u w:val="single"/>
          </w:rPr>
          <w:t>[4]</w:t>
        </w:r>
      </w:hyperlink>
      <w:r>
        <w:t xml:space="preserve">, </w:t>
      </w:r>
      <w:hyperlink r:id="rId13">
        <w:r>
          <w:rPr>
            <w:color w:val="0000EE"/>
            <w:u w:val="single"/>
          </w:rPr>
          <w:t>[6]</w:t>
        </w:r>
      </w:hyperlink>
      <w:r/>
    </w:p>
    <w:p>
      <w:pPr>
        <w:pStyle w:val="Heading2"/>
      </w:pPr>
      <w:r>
        <w:t>Grassroots groups are feeling the strain</w:t>
      </w:r>
      <w:r/>
    </w:p>
    <w:p>
      <w:r/>
      <w:r>
        <w:t xml:space="preserve">Smaller organisations appear especially exposed. Six in ten of the smallest groups surveyed said they often used personal funds to pay for activities and deliver support. It’s a sobering picture: community work being kept going, in part, through the pockets of the people doing it. </w:t>
      </w:r>
      <w:hyperlink r:id="rId10">
        <w:r>
          <w:rPr>
            <w:color w:val="0000EE"/>
            <w:u w:val="single"/>
          </w:rPr>
          <w:t>[3]</w:t>
        </w:r>
      </w:hyperlink>
      <w:r/>
    </w:p>
    <w:p>
      <w:r/>
      <w:r>
        <w:t xml:space="preserve">The report also raised concerns about staff and volunteer safety, wellbeing and burnout amid a more hostile climate for LGBTQ+ communities. Those pressures can reinforce one another, making it harder to recruit, retain and support the people services depend on. </w:t>
      </w:r>
      <w:hyperlink r:id="rId9">
        <w:r>
          <w:rPr>
            <w:color w:val="0000EE"/>
            <w:u w:val="single"/>
          </w:rPr>
          <w:t>[2]</w:t>
        </w:r>
      </w:hyperlink>
      <w:r>
        <w:t xml:space="preserve">, </w:t>
      </w:r>
      <w:hyperlink r:id="rId10">
        <w:r>
          <w:rPr>
            <w:color w:val="0000EE"/>
            <w:u w:val="single"/>
          </w:rPr>
          <w:t>[3]</w:t>
        </w:r>
      </w:hyperlink>
      <w:r/>
    </w:p>
    <w:p>
      <w:pPr>
        <w:pStyle w:val="Heading2"/>
      </w:pPr>
      <w:r>
        <w:t>What the funding gap means for charities</w:t>
      </w:r>
      <w:r/>
    </w:p>
    <w:p>
      <w:r/>
      <w:r>
        <w:t xml:space="preserve">For someone seeking support, funding pressure can affect whether a local group has the capacity to respond, run activities or maintain services. The research documents rising demand and shrinking real-terms funding, but it doesn’t specify identical impacts across every organisation; each group’s needs and resources will differ. </w:t>
      </w:r>
      <w:hyperlink r:id="rId10">
        <w:r>
          <w:rPr>
            <w:color w:val="0000EE"/>
            <w:u w:val="single"/>
          </w:rPr>
          <w:t>[3]</w:t>
        </w:r>
      </w:hyperlink>
      <w:r/>
    </w:p>
    <w:p>
      <w:r/>
      <w:r>
        <w:t xml:space="preserve">A practical step for prospective donors is to check what a charity says about its work and funding needs, then consider regular giving if that suits their budget. Foundations, meanwhile, can look at how accessible their funding is to smaller community organisations, as well as whether support is dependable enough for groups to plan ahead. </w:t>
      </w:r>
      <w:hyperlink r:id="rId13">
        <w:r>
          <w:rPr>
            <w:color w:val="0000EE"/>
            <w:u w:val="single"/>
          </w:rPr>
          <w:t>[6]</w:t>
        </w:r>
      </w:hyperlink>
      <w:r>
        <w:t xml:space="preserve">, </w:t>
      </w:r>
      <w:hyperlink r:id="rId14">
        <w:r>
          <w:rPr>
            <w:color w:val="0000EE"/>
            <w:u w:val="single"/>
          </w:rPr>
          <w:t>[7]</w:t>
        </w:r>
      </w:hyperlink>
      <w:r/>
    </w:p>
    <w:p>
      <w:pPr>
        <w:pStyle w:val="Heading2"/>
      </w:pPr>
      <w:r>
        <w:t>A resilient sector needs reliable backing</w:t>
      </w:r>
      <w:r/>
    </w:p>
    <w:p>
      <w:r/>
      <w:r>
        <w:t xml:space="preserve">The report’s message is not that LGBTQ+ organisations have stopped delivering. It is that many are doing so under mounting pressure, with demand rising and money becoming scarcer in real terms. Admiration for their work is welcome, but it can’t replace the resources that make services possible. </w:t>
      </w:r>
      <w:hyperlink r:id="rId9">
        <w:r>
          <w:rPr>
            <w:color w:val="0000EE"/>
            <w:u w:val="single"/>
          </w:rPr>
          <w:t>[2]</w:t>
        </w:r>
      </w:hyperlink>
      <w:r>
        <w:t xml:space="preserve">, </w:t>
      </w:r>
      <w:hyperlink r:id="rId10">
        <w:r>
          <w:rPr>
            <w:color w:val="0000EE"/>
            <w:u w:val="single"/>
          </w:rPr>
          <w:t>[3]</w:t>
        </w:r>
      </w:hyperlink>
      <w:r/>
    </w:p>
    <w:p>
      <w:r/>
      <w:r>
        <w:t xml:space="preserve">The funding challenge also points to a wider question for charities and donors: how can support reach the groups closest to their communities, without leaving them dependent on a narrow circle of funders? Broader and more dependable backing could help organisations plan for the long term, rather than continually patching the gaps. </w:t>
      </w:r>
      <w:hyperlink r:id="rId12">
        <w:r>
          <w:rPr>
            <w:color w:val="0000EE"/>
            <w:u w:val="single"/>
          </w:rPr>
          <w:t>[4]</w:t>
        </w:r>
      </w:hyperlink>
      <w:r>
        <w:t xml:space="preserve">, </w:t>
      </w:r>
      <w:hyperlink r:id="rId13">
        <w:r>
          <w:rPr>
            <w:color w:val="0000EE"/>
            <w:u w:val="single"/>
          </w:rPr>
          <w:t>[6]</w:t>
        </w:r>
      </w:hyperlink>
      <w:r>
        <w:t xml:space="preserve">, </w:t>
      </w:r>
      <w:hyperlink r:id="rId14">
        <w:r>
          <w:rPr>
            <w:color w:val="0000EE"/>
            <w:u w:val="single"/>
          </w:rPr>
          <w:t>[7]</w:t>
        </w:r>
      </w:hyperlink>
      <w:r/>
    </w:p>
    <w:p>
      <w:r/>
      <w:r>
        <w:t>Reliable support can help local organisations keep showing up for the people who need them.</w:t>
      </w:r>
      <w:r/>
    </w:p>
    <w:p>
      <w:pPr>
        <w:pStyle w:val="Heading3"/>
      </w:pPr>
      <w:r>
        <w:t>Source Reference Map</w:t>
      </w:r>
      <w:r/>
    </w:p>
    <w:p>
      <w:r/>
      <w:r>
        <w:rPr>
          <w:b/>
        </w:rPr>
        <w:t>Story idea inspired by:</w:t>
      </w:r>
      <w:r>
        <w:t xml:space="preserve"> </w:t>
      </w:r>
      <w:hyperlink r:id="rId11">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0">
        <w:r>
          <w:rPr>
            <w:color w:val="0000EE"/>
            <w:u w:val="single"/>
          </w:rPr>
          <w:t>[3]</w:t>
        </w:r>
      </w:hyperlink>
      <w:r>
        <w:t xml:space="preserve">, </w:t>
      </w:r>
      <w:hyperlink r:id="rId11">
        <w:r>
          <w:rPr>
            <w:color w:val="0000EE"/>
            <w:u w:val="single"/>
          </w:rPr>
          <w:t>[5]</w:t>
        </w:r>
      </w:hyperlink>
      <w:r>
        <w:t xml:space="preserve">- Paragraph 3: </w:t>
      </w:r>
      <w:hyperlink r:id="rId10">
        <w:r>
          <w:rPr>
            <w:color w:val="0000EE"/>
            <w:u w:val="single"/>
          </w:rPr>
          <w:t>[3]</w:t>
        </w:r>
      </w:hyperlink>
      <w:r>
        <w:t xml:space="preserve">- Paragraph 4: </w:t>
      </w:r>
      <w:hyperlink r:id="rId12">
        <w:r>
          <w:rPr>
            <w:color w:val="0000EE"/>
            <w:u w:val="single"/>
          </w:rPr>
          <w:t>[4]</w:t>
        </w:r>
      </w:hyperlink>
      <w:r>
        <w:t xml:space="preserve">, </w:t>
      </w:r>
      <w:hyperlink r:id="rId13">
        <w:r>
          <w:rPr>
            <w:color w:val="0000EE"/>
            <w:u w:val="single"/>
          </w:rPr>
          <w:t>[6]</w:t>
        </w:r>
      </w:hyperlink>
      <w:r>
        <w:t xml:space="preserve">- Paragraph 5: </w:t>
      </w:r>
      <w:hyperlink r:id="rId10">
        <w:r>
          <w:rPr>
            <w:color w:val="0000EE"/>
            <w:u w:val="single"/>
          </w:rPr>
          <w:t>[3]</w:t>
        </w:r>
      </w:hyperlink>
      <w:r>
        <w:t xml:space="preserve">- Paragraph 6: </w:t>
      </w:r>
      <w:hyperlink r:id="rId9">
        <w:r>
          <w:rPr>
            <w:color w:val="0000EE"/>
            <w:u w:val="single"/>
          </w:rPr>
          <w:t>[2]</w:t>
        </w:r>
      </w:hyperlink>
      <w:r>
        <w:t xml:space="preserve">, </w:t>
      </w:r>
      <w:hyperlink r:id="rId10">
        <w:r>
          <w:rPr>
            <w:color w:val="0000EE"/>
            <w:u w:val="single"/>
          </w:rPr>
          <w:t>[3]</w:t>
        </w:r>
      </w:hyperlink>
      <w:r>
        <w:t xml:space="preserve">- Paragraph 7: </w:t>
      </w:r>
      <w:hyperlink r:id="rId10">
        <w:r>
          <w:rPr>
            <w:color w:val="0000EE"/>
            <w:u w:val="single"/>
          </w:rPr>
          <w:t>[3]</w:t>
        </w:r>
      </w:hyperlink>
      <w:r>
        <w:t xml:space="preserve">- Paragraph 8: </w:t>
      </w:r>
      <w:hyperlink r:id="rId13">
        <w:r>
          <w:rPr>
            <w:color w:val="0000EE"/>
            <w:u w:val="single"/>
          </w:rPr>
          <w:t>[6]</w:t>
        </w:r>
      </w:hyperlink>
      <w:r>
        <w:t xml:space="preserve">, </w:t>
      </w:r>
      <w:hyperlink r:id="rId14">
        <w:r>
          <w:rPr>
            <w:color w:val="0000EE"/>
            <w:u w:val="single"/>
          </w:rPr>
          <w:t>[7]</w:t>
        </w:r>
      </w:hyperlink>
      <w:r>
        <w:t xml:space="preserve">- Paragraph 9: </w:t>
      </w:r>
      <w:hyperlink r:id="rId9">
        <w:r>
          <w:rPr>
            <w:color w:val="0000EE"/>
            <w:u w:val="single"/>
          </w:rPr>
          <w:t>[2]</w:t>
        </w:r>
      </w:hyperlink>
      <w:r>
        <w:t xml:space="preserve">, </w:t>
      </w:r>
      <w:hyperlink r:id="rId10">
        <w:r>
          <w:rPr>
            <w:color w:val="0000EE"/>
            <w:u w:val="single"/>
          </w:rPr>
          <w:t>[3]</w:t>
        </w:r>
      </w:hyperlink>
      <w:r>
        <w:t xml:space="preserve">- Paragraph 10: </w:t>
      </w:r>
      <w:hyperlink r:id="rId12">
        <w:r>
          <w:rPr>
            <w:color w:val="0000EE"/>
            <w:u w:val="single"/>
          </w:rPr>
          <w:t>[4]</w:t>
        </w:r>
      </w:hyperlink>
      <w:r>
        <w:t xml:space="preserve">, </w:t>
      </w:r>
      <w:hyperlink r:id="rId13">
        <w:r>
          <w:rPr>
            <w:color w:val="0000EE"/>
            <w:u w:val="single"/>
          </w:rPr>
          <w:t>[6]</w:t>
        </w:r>
      </w:hyperlink>
      <w:r>
        <w:t xml:space="preserve">, </w:t>
      </w:r>
      <w:hyperlink r:id="rId14">
        <w:r>
          <w:rPr>
            <w:color w:val="0000EE"/>
            <w:u w:val="single"/>
          </w:rPr>
          <w:t>[7]</w:t>
        </w:r>
      </w:hyperlink>
      <w:r>
        <w:t xml:space="preserve">- Paragraph 11: </w:t>
      </w:r>
      <w:hyperlink r:id="rId10">
        <w:r>
          <w:rPr>
            <w:color w:val="0000EE"/>
            <w:u w:val="single"/>
          </w:rPr>
          <w:t>[3]</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1">
        <w:r>
          <w:rPr>
            <w:color w:val="0000EE"/>
            <w:u w:val="single"/>
          </w:rPr>
          <w:t>https://www.thepinknews.com/2026/11/05/lgbt-charity-funding-uk/</w:t>
        </w:r>
      </w:hyperlink>
      <w:r>
        <w:t xml:space="preserve"> - Please view link - unable to able to access data</w:t>
      </w:r>
      <w:r/>
    </w:p>
    <w:p>
      <w:pPr>
        <w:pStyle w:val="ListNumber"/>
        <w:spacing w:line="240" w:lineRule="auto"/>
        <w:ind w:left="720"/>
      </w:pPr>
      <w:r/>
      <w:hyperlink r:id="rId9">
        <w:r>
          <w:rPr>
            <w:color w:val="0000EE"/>
            <w:u w:val="single"/>
          </w:rPr>
          <w:t>https://www.civilsociety.co.uk/news/lgbt-charities-struggling-in-hostile-environment-report-warns.html</w:t>
        </w:r>
      </w:hyperlink>
      <w:r>
        <w:t xml:space="preserve"> - This report by Civil Society covers the LGBT+ Fund and Consortium research into the financial circumstances of LGBTQ+ voluntary and community organisations across the UK. Drawing on analysis of more than 770 organisations, it says sector funding fell by 8.6 per cent in real terms between 2023 and 2025. Identified funding was £53.3 million in 2025, equivalent to five pence of every £100 donated to UK charities, down from six pence in 2023. Funding was also highly concentrated: the 20 largest funders accounted for 88 per cent of the identified total. At the same time, 72 per cent of organisations surveyed said demand for their services had risen, and six in ten of the smallest groups regularly used personal money to support their work. The article describes added pressures from concerns about safety, wellbeing and burnout in what the research calls a hostile environment. It includes comments from Emma Miller-McCaffrey of the LGBT+ Fund, who stresses the contribution organisations and volunteers make despite falling resources, and calls for more investment. This is a concise, direct account of the key findings and supports the article’s central claims about declining funding, rising demand, concentrated funding and the precarious finances of smaller grassroots groups.</w:t>
      </w:r>
      <w:r/>
    </w:p>
    <w:p>
      <w:pPr>
        <w:pStyle w:val="ListNumber"/>
        <w:spacing w:line="240" w:lineRule="auto"/>
        <w:ind w:left="720"/>
      </w:pPr>
      <w:r/>
      <w:hyperlink r:id="rId10">
        <w:r>
          <w:rPr>
            <w:color w:val="0000EE"/>
            <w:u w:val="single"/>
          </w:rPr>
          <w:t>https://lgbtfund.org.uk/wp-content/uploads/2025/10/LGBT-Fund-Report-2025.pdf</w:t>
        </w:r>
      </w:hyperlink>
      <w:r>
        <w:t xml:space="preserve"> - The LGBT+ Fund Report examines finances, funding and future prospects for LGBT+ voluntary and community organisations in the UK. It draws on financial information and organisational research, including data from Consortium members, and discusses the difference between larger organisations and small grassroots groups. The report finds that small organisations commonly have few paid staff, depend heavily on volunteers and often struggle to secure institutional funding. Many rely on individual donations, modest grants, membership income or personal resources; a substantial share report using their own money to meet community needs. It describes how limited reserves and barriers to mainstream grants can leave smaller groups vulnerable, even though they provide distinctive local support and community-building activities. The report also discusses the concentration of income among larger organisations and concerns about inadequate investment in smaller parts of the sector. Its wider analysis considers the effect of a hostile political climate and the challenges of measuring funding flows when LGBT+ causes are not consistently identified in standard datasets. This publication is an important source for understanding the structural vulnerabilities behind the newer figures in the supplied article, especially the reliance on volunteers and personal funds. It provides context for why reductions or shifts in grantmaking can have an outsized effect on smaller, community-led services.</w:t>
      </w:r>
      <w:r/>
    </w:p>
    <w:p>
      <w:pPr>
        <w:pStyle w:val="ListNumber"/>
        <w:spacing w:line="240" w:lineRule="auto"/>
        <w:ind w:left="720"/>
      </w:pPr>
      <w:r/>
      <w:hyperlink r:id="rId12">
        <w:r>
          <w:rPr>
            <w:color w:val="0000EE"/>
            <w:u w:val="single"/>
          </w:rPr>
          <w:t>https://www.socialenterprise.org.uk/seuk-report/addressing-the-funding-gap-of-lgbtq-support-organisations-can-social-investment-be-part-of-the-solution/</w:t>
        </w:r>
      </w:hyperlink>
      <w:r>
        <w:t xml:space="preserve"> - Social Enterprise UK’s report explores whether social investment could help LGBTQ+ support organisations respond to increasing demand and a difficult funding environment. It notes that grants and donations remain essential, but may not always provide enough certainty or scale for organisations to develop, adapt or expand their work. The research uses Social Enterprise UK’s 2025 State of Social Enterprise data and includes case studies from Micro Rainbow, Tonic Housing and Gaydio. It considers what forms of investment may be appropriate, when social finance can be useful and what obstacles LGBTQ+ voluntary, community and social enterprise organisations face when trying to access it. The report offers recommendations for organisations and investors, including improving awareness of available finance, making access more workable, building stronger relationships and developing better evidence about the sector. It does not provide the specific 2023–2025 funding statistics reported in the supplied article, but it supports the wider context that LGBTQ+ services face rising need alongside constrained resources and that conventional grants may not meet every organisational need. Its focus on practical financing options complements the article’s call for greater investment, while emphasising that social investment should be considered as one potential part of a broader funding response.</w:t>
      </w:r>
      <w:r/>
    </w:p>
    <w:p>
      <w:pPr>
        <w:pStyle w:val="ListNumber"/>
        <w:spacing w:line="240" w:lineRule="auto"/>
        <w:ind w:left="720"/>
      </w:pPr>
      <w:r/>
      <w:hyperlink r:id="rId11">
        <w:r>
          <w:rPr>
            <w:color w:val="0000EE"/>
            <w:u w:val="single"/>
          </w:rPr>
          <w:t>https://www.thepinknews.com/2026/11/05/lgbt-charity-funding-uk/</w:t>
        </w:r>
      </w:hyperlink>
      <w:r>
        <w:t xml:space="preserve"> - PinkNews reports that LGBTQ+ charities across the UK say they are being pushed towards breaking point as funding falls and demand for help rises. The article summarises research covering more than 770 voluntary and community organisations, which found that sector funding declined by 8.6 per cent in real terms from 2023 to 2025. It reports identified support of £53.3 million in 2025, or five pence for every £100 donated to charities, and says the 20 largest funders supplied 88 per cent of that funding. The story also highlights that 72 per cent of organisations reported rising demand, while six in ten of the smallest groups often used personal money to fund activities and services. Alongside resource shortages, the report raises concerns about staff and volunteer safety, worsening wellbeing and burnout amid a hostile climate for LGBTQ+ communities. The article quotes Emma Miller-McCaffrey of the LGBT+ Fund on the extensive work undertaken with limited resources and her call for immediate investment. It also refers to earlier remarks by Consortium’s Heather Paterson about a tough environment for charities and negative responses faced by some funders supporting LGBTQ+ causes. This is the supplied publication and the most direct source for the article’s claims and quotations.</w:t>
      </w:r>
      <w:r/>
    </w:p>
    <w:p>
      <w:pPr>
        <w:pStyle w:val="ListNumber"/>
        <w:spacing w:line="240" w:lineRule="auto"/>
        <w:ind w:left="720"/>
      </w:pPr>
      <w:r/>
      <w:hyperlink r:id="rId13">
        <w:r>
          <w:rPr>
            <w:color w:val="0000EE"/>
            <w:u w:val="single"/>
          </w:rPr>
          <w:t>https://www.consortium.lgbt/what-we-do/lgbtfund/</w:t>
        </w:r>
      </w:hyperlink>
      <w:r>
        <w:t xml:space="preserve"> - The Consortium’s LGBT+ Fund page describes the organisation’s work to develop a funding mechanism intended to bring new resources into the LGBT+ sector. It explains that the initiative followed a feasibility study, supported by the Esmée Fairbairn Foundation and the National Lottery Community Fund, and carried out with consultants. The study gathered evidence, consultation and analysis of funding trends, then set out recommendations for increasing support in new and innovative ways. The page also outlines Consortium’s Action Plan for Change and its commitments to provide leadership as the fund develops. It notes that creating a sector-wide fund presents challenges, but argues that collective ownership, co-production and increased organisational capacity are important principles for its future. The source does not itself reproduce the newer financial statistics in the supplied article, but it establishes the institutional background: Consortium’s role in seeking sustainable funding for LGBT+ organisations and its recognition of the need to strengthen sector capacity. It is useful for verifying who is behind the LGBT+ Fund and understanding the organisation’s longer-term response to funding gaps. The page also makes clear that the initiative is designed to support organisations across the country, rather than a single charity or local service.</w:t>
      </w:r>
      <w:r/>
    </w:p>
    <w:p>
      <w:pPr>
        <w:pStyle w:val="ListNumber"/>
        <w:spacing w:line="240" w:lineRule="auto"/>
        <w:ind w:left="720"/>
      </w:pPr>
      <w:r/>
      <w:hyperlink r:id="rId14">
        <w:r>
          <w:rPr>
            <w:color w:val="0000EE"/>
            <w:u w:val="single"/>
          </w:rPr>
          <w:t>https://www.cafonline.org/services-for-charities/resources/uk-giving-is-changing-what-foundations-can-do-to-help-charities-adapt</w:t>
        </w:r>
      </w:hyperlink>
      <w:r>
        <w:t xml:space="preserve"> - Charities Aid Foundation’s article discusses wider pressures affecting UK charities and the ways foundations may help organisations adapt. It points to research indicating that many charities are experiencing increased demand for their services, while charity leaders report concern about the financial health of the sector. The piece frames these pressures as a combination of growing need, funding constraints and organisational strain, arguing that charities may struggle to maintain services without responsive and sustained backing. It considers how foundations can assist by examining their funding approaches and supporting charities as circumstances change. Although the article is not specifically about LGBTQ+ organisations and does not substantiate the LGBT+ Fund’s precise figures, it provides broader UK charity-sector context relevant to the supplied story’s account of rising demand and financial pressure. Its discussion helps distinguish the LGBTQ+ sector’s particular findings from wider conditions affecting voluntary organisations. Used alongside the LGBT+ Fund research, it supports the general point that increased service demand and limited resources are not isolated concerns. The article is most relevant as contextual evidence about the pressures charities face nationally and the potential role of funders in helping organisations remain resilient and responsive.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ivilsociety.co.uk/news/lgbt-charities-struggling-in-hostile-environment-report-warns.html" TargetMode="External"/><Relationship Id="rId10" Type="http://schemas.openxmlformats.org/officeDocument/2006/relationships/hyperlink" Target="https://lgbtfund.org.uk/wp-content/uploads/2025/10/LGBT-Fund-Report-2025.pdf" TargetMode="External"/><Relationship Id="rId11" Type="http://schemas.openxmlformats.org/officeDocument/2006/relationships/hyperlink" Target="https://www.thepinknews.com/2026/11/05/lgbt-charity-funding-uk/" TargetMode="External"/><Relationship Id="rId12" Type="http://schemas.openxmlformats.org/officeDocument/2006/relationships/hyperlink" Target="https://www.socialenterprise.org.uk/seuk-report/addressing-the-funding-gap-of-lgbtq-support-organisations-can-social-investment-be-part-of-the-solution/" TargetMode="External"/><Relationship Id="rId13" Type="http://schemas.openxmlformats.org/officeDocument/2006/relationships/hyperlink" Target="https://www.consortium.lgbt/what-we-do/lgbtfund/" TargetMode="External"/><Relationship Id="rId14" Type="http://schemas.openxmlformats.org/officeDocument/2006/relationships/hyperlink" Target="https://www.cafonline.org/services-for-charities/resources/uk-giving-is-changing-what-foundations-can-do-to-help-charities-adap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