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Thailand’s WorldPride 2030 Bid Puts Rainbow Diplomacy Centre Stage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Thailand is making its bid to host WorldPride 2030 part of a wider push to turn LGBTQ+ inclusion into diplomatic influence and economic opportunity. With marriage equality now law and a major international campaign under way, Bangkok is hoping to become the first Asian city to host the event, while campaigners see a chance to press for deeper reforms at home.</w:t>
      </w:r>
      <w:r/>
    </w:p>
    <w:p>
      <w:pPr>
        <w:pStyle w:val="Heading2"/>
      </w:pPr>
      <w:r>
        <w:t>Thailand is turning inclusion into a diplomatic calling card</w:t>
      </w:r>
      <w:r/>
    </w:p>
    <w:p>
      <w:r/>
      <w:r>
        <w:t>The WorldPride 2030 bid is about more than a colourful parade. Thailand is presenting its record on LGBTQ+ rights as part of a national soft-power strategy, using visibility, tourism and cultural exports to strengthen its profile abroad. The government says its delegation promoted Bangkok’s bid at WorldPride Amsterdam in 2026, combining public events with meetings and lobbying. (Government Public Relations Department; Thailand.go.th)</w:t>
      </w:r>
      <w:r/>
    </w:p>
    <w:p>
      <w:r/>
      <w:r>
        <w:t>WorldPride is a global event organised by InterPride and hosted by different cities. Winning the 2030 edition would make Bangkok the first Asian host, giving Thailand an unusually prominent platform to showcase its ambitions. (InterPride; Thailand.go.th)</w:t>
      </w:r>
      <w:r/>
    </w:p>
    <w:p>
      <w:pPr>
        <w:pStyle w:val="Heading2"/>
      </w:pPr>
      <w:r>
        <w:t>A large tourism opportunity, with a complicated edge</w:t>
      </w:r>
      <w:r/>
    </w:p>
    <w:p>
      <w:r/>
      <w:r>
        <w:t>The economic case is clear enough to attract official attention. One industry estimate put revenue from LGBTQ+ tourism in Thailand above US$6 billion in 2019, and the government has linked the sector to its broader plans for tourism and creative industries. (LGBT Capital; Thailand Government Public Relations Department)</w:t>
      </w:r>
      <w:r/>
    </w:p>
    <w:p>
      <w:r/>
      <w:r>
        <w:t>But there’s a question worth keeping in view: when inclusion is also a growth strategy, who benefits? Critics may see a risk of pinkwashing, where progressive branding moves faster than protections on the ground. The bid’s long-term credibility will depend not only on visitor numbers, but on whether everyday rights continue to improve.</w:t>
      </w:r>
      <w:r/>
    </w:p>
    <w:p>
      <w:pPr>
        <w:pStyle w:val="Heading2"/>
      </w:pPr>
      <w:r>
        <w:t>Thai culture travels well beyond the country’s borders</w:t>
      </w:r>
      <w:r/>
    </w:p>
    <w:p>
      <w:r/>
      <w:r>
        <w:t>Tourism isn’t the only asset in Thailand’s rainbow diplomacy. Popular Thai television dramas about same-sex relationships have found audiences overseas, adding cultural reach to the country’s growing soft-power efforts. Thailand’s Creative Economy Agency describes soft power as a way to build influence through culture and creativity, rather than relying solely on political or economic weight. (Creative Economy Agency)</w:t>
      </w:r>
      <w:r/>
    </w:p>
    <w:p>
      <w:r/>
      <w:r>
        <w:t>That cultural connection matters because it makes the country’s image feel lived-in, not simply official. A hit drama or a striking parade float can draw attention, while sustained policy change gives that attention a reason to last.</w:t>
      </w:r>
      <w:r/>
    </w:p>
    <w:p>
      <w:pPr>
        <w:pStyle w:val="Heading2"/>
      </w:pPr>
      <w:r>
        <w:t>The campaign brings officials and advocates together</w:t>
      </w:r>
      <w:r/>
    </w:p>
    <w:p>
      <w:r/>
      <w:r>
        <w:t>Thailand’s WorldPride effort has drawn support from government agencies and civil society groups, including Pride organisers and LGBTQ+ organisations. Their interests overlap, but they aren’t identical: officials can focus on national branding and tourism, while advocates are also seeking wider legal protections and reforms. (Thailand.go.th; Thailand Government Public Relations Department)</w:t>
      </w:r>
      <w:r/>
    </w:p>
    <w:p>
      <w:r/>
      <w:r>
        <w:t>That partnership could be one of the bid’s most important features. A successful event would put international attention on Bangkok, but campaigners will want that attention to reach beyond the stage and into the rules that shape people’s daily lives.</w:t>
      </w:r>
      <w:r/>
    </w:p>
    <w:p>
      <w:pPr>
        <w:pStyle w:val="Heading2"/>
      </w:pPr>
      <w:r>
        <w:t>What Bangkok’s bid could mean for LGBTQ+ rights</w:t>
      </w:r>
      <w:r/>
    </w:p>
    <w:p>
      <w:r/>
      <w:r>
        <w:t>Thailand has also engaged with LGBTQ+ rights through international forums. In 2016, the UN Human Rights Office in Bangkok welcomed the establishment of a UN mandate focused on protection against violence and discrimination based on sexual orientation and gender identity. (UN Human Rights Office Bangkok)</w:t>
      </w:r>
      <w:r/>
    </w:p>
    <w:p>
      <w:r/>
      <w:r>
        <w:t>Hosting WorldPride wouldn’t automatically settle the harder debates around equality. Still, it could give local organisations greater visibility and create a public moment that’s difficult for decision-makers to ignore. The real measure of success may be less about the size of the crowd than what changes after it goes home.</w:t>
      </w:r>
      <w:r/>
    </w:p>
    <w:p>
      <w:pPr>
        <w:pStyle w:val="Heading2"/>
      </w:pPr>
      <w:r>
        <w:t>The lasting test is what happens after the celebration</w:t>
      </w:r>
      <w:r/>
    </w:p>
    <w:p>
      <w:r/>
      <w:r>
        <w:t>Thailand’s bid shows how social progress can become part of a country’s international strategy. That can bring real benefits, but the strongest message will come from matching the polished global image with steady improvements at home.</w:t>
      </w:r>
      <w:r/>
    </w:p>
    <w:p>
      <w:r/>
      <w:r>
        <w:t>For Bangkok, the parade may be the headline. The lasting story will be whether inclusion continues when the flags come down.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3">
        <w:r>
          <w:rPr>
            <w:color w:val="0000EE"/>
            <w:u w:val="single"/>
          </w:rPr>
          <w:t>[5]</w:t>
        </w:r>
      </w:hyperlink>
      <w:r>
        <w:t xml:space="preserve">, </w:t>
      </w:r>
      <w:hyperlink r:id="rId11">
        <w:r>
          <w:rPr>
            <w:color w:val="0000EE"/>
            <w:u w:val="single"/>
          </w:rPr>
          <w:t>[4]</w:t>
        </w:r>
      </w:hyperlink>
      <w:r>
        <w:t xml:space="preserve">- Paragraph 4: </w:t>
      </w:r>
      <w:hyperlink r:id="rId13">
        <w:r>
          <w:rPr>
            <w:color w:val="0000EE"/>
            <w:u w:val="single"/>
          </w:rPr>
          <w:t>[5]</w:t>
        </w:r>
      </w:hyperlink>
      <w:r>
        <w:t xml:space="preserve">, </w:t>
      </w:r>
      <w:hyperlink r:id="rId11">
        <w:r>
          <w:rPr>
            <w:color w:val="0000EE"/>
            <w:u w:val="single"/>
          </w:rPr>
          <w:t>[4]</w:t>
        </w:r>
      </w:hyperlink>
      <w:r>
        <w:t xml:space="preserve">- Paragraph 5: </w:t>
      </w:r>
      <w:hyperlink r:id="rId14">
        <w:r>
          <w:rPr>
            <w:color w:val="0000EE"/>
            <w:u w:val="single"/>
          </w:rPr>
          <w:t>[6]</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5">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2">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https://eastasiaforum.org/2026/11/05/rainbow-statecraft-and-thailands-soft-power-pivot-in-the-race-for-worldpride-2030/</w:t>
        </w:r>
      </w:hyperlink>
      <w:r>
        <w:t xml:space="preserve"> - Please view link - unable to able to access data</w:t>
      </w:r>
      <w:r/>
    </w:p>
    <w:p>
      <w:pPr>
        <w:pStyle w:val="ListNumber"/>
        <w:spacing w:line="240" w:lineRule="auto"/>
        <w:ind w:left="720"/>
      </w:pPr>
      <w:r/>
      <w:hyperlink r:id="rId12">
        <w:r>
          <w:rPr>
            <w:color w:val="0000EE"/>
            <w:u w:val="single"/>
          </w:rPr>
          <w:t>https://www.interpride.org/worldpride/</w:t>
        </w:r>
      </w:hyperlink>
      <w:r>
        <w:t xml:space="preserve"> - InterPride’s WorldPride page explains the event’s purpose, history and selection process, and presents the 2030 bids from Bangkok and Barcelona. It describes WorldPride as an international event licensed by InterPride and organised by one of its member organisations. Its programme can include parades, festivals and a human rights conference, bringing visibility to LGBTQIA+ issues internationally. The page says InterPride members selected Rome for the inaugural event, held in 2000, and that host cities are generally chosen through a member bidding process. The Bangkok proposal is presented under the theme “Until All of Us Are Free”. It draws on grassroots organising and Thailand’s marriage equality milestone, and sets out a programme focused on human rights, community, culture, accessibility, sustainability and international solidarity. The page also lists Barcelona’s proposal, making clear that Bangkok is competing rather than already selected as host. The information supports the article’s description of WorldPride as an InterPride-associated international event and the existence, theme and broad aims of Bangkok’s 2030 bid. It is a primary source for the event’s official description and the candidates’ proposals; it does not, by itself, verify the article’s analysis of Thailand’s wider foreign policy strategy or the eventual outcome of the bidding process.</w:t>
      </w:r>
      <w:r/>
    </w:p>
    <w:p>
      <w:pPr>
        <w:pStyle w:val="ListNumber"/>
        <w:spacing w:line="240" w:lineRule="auto"/>
        <w:ind w:left="720"/>
      </w:pPr>
      <w:r/>
      <w:hyperlink r:id="rId10">
        <w:r>
          <w:rPr>
            <w:color w:val="0000EE"/>
            <w:u w:val="single"/>
          </w:rPr>
          <w:t>https://thailand.go.th/public/event-detail/--world-pride-amsterdam-2026--world-pride-bangkok-2030</w:t>
        </w:r>
      </w:hyperlink>
      <w:r>
        <w:t xml:space="preserve"> - This Thai government account reports on the Tourism Authority of Thailand’s participation in WorldPride Amsterdam from 3 to 6 August 2026. It says the agency promoted Thailand as a destination for LGBTQIAN+ travellers while supporting Bangkok’s bid to host WorldPride in 2030. The activity included tourism promotion, networking and meetings with Pride organisations. TAT representatives attended a “Road to Bangkok World Pride 2030” event and met with InterPride, Asian Pride and other organisations to build international support. The report also describes tourism booths at Pride Village and the Beurs van Berlage Conference Center, where visitors could obtain travel information and learn about Thai destinations and experiences. TAT worked with a Dutch LGBTQIAN+ publication on coverage of Bangkok’s preparations, and its Paris office promoted the campaign through social media. The agency characterised LGBTQIAN+ visitors as a high-potential market and expected its Amsterdam presence to help attract travellers and strengthen Thailand’s welcoming tourism image. This is a useful primary source for the article’s account of Thailand’s coordinated promotional and diplomatic activity in Amsterdam and the connection it makes between tourism and the WorldPride bid. It verifies the government’s stated activities and objectives, but does not independently establish the article’s broader claims about the bid’s diplomatic impact or the positions of all participating civil society groups.</w:t>
      </w:r>
      <w:r/>
    </w:p>
    <w:p>
      <w:pPr>
        <w:pStyle w:val="ListNumber"/>
        <w:spacing w:line="240" w:lineRule="auto"/>
        <w:ind w:left="720"/>
      </w:pPr>
      <w:r/>
      <w:hyperlink r:id="rId11">
        <w:r>
          <w:rPr>
            <w:color w:val="0000EE"/>
            <w:u w:val="single"/>
          </w:rPr>
          <w:t>https://thailand.prd.go.th/en/content/category/detail/id/52/iid/355315</w:t>
        </w:r>
      </w:hyperlink>
      <w:r>
        <w:t xml:space="preserve"> - Thailand’s Government Public Relations Department explains that the country’s Marriage Equality Law took effect on 22 January 2025, making Thailand the first country in Southeast Asia to recognise same-sex marriage in law. The announcement places the change in regional and international context, describing Thailand as the third jurisdiction in Asia and the 38th globally to legalise same-sex marriage. The law represents a major change in the legal recognition of couples, and the announcement presents it as a historic milestone for equality and inclusion. This source supports the article’s central factual claim that Thailand enacted marriage equality and became the first Southeast Asian nation to do so. It also helps explain why the reform can serve as an important part of the country’s international image and its pitch to LGBTQ+ communities. As an official government communication, the page is a direct source for the government’s description of the law and its effective date. It is not an independent evaluation of how fully LGBTQ+ people enjoy equality in practice, nor does it establish public approval levels, economic effects or the separate foreign-policy strategy discussed in the article. Those issues require evidence beyond the announcement. The page is therefore most useful for checking the legal milestone and the government’s stated framing of its significance.</w:t>
      </w:r>
      <w:r/>
    </w:p>
    <w:p>
      <w:pPr>
        <w:pStyle w:val="ListNumber"/>
        <w:spacing w:line="240" w:lineRule="auto"/>
        <w:ind w:left="720"/>
      </w:pPr>
      <w:r/>
      <w:hyperlink r:id="rId13">
        <w:r>
          <w:rPr>
            <w:color w:val="0000EE"/>
            <w:u w:val="single"/>
          </w:rPr>
          <w:t>https://www.lgbt-capital.com/docs/Estimated_LGBT-GDP_Tourism_%28table%29_-_2023.pdf</w:t>
        </w:r>
      </w:hyperlink>
      <w:r>
        <w:t xml:space="preserve"> - This report presents estimates of the economic contribution associated with international LGBTQ+ travel and tourism across multiple countries, including Thailand. Its table gives a pre-pandemic 2019 estimate for Thailand of approximately US$6.5 billion in LGBTQ+ international travel and tourism-related GDP contribution, alongside an estimated 1.23 per cent share of national GDP. Those figures are close to the article’s statement that Thailand’s LGBTQ+ tourism revenue exceeded US$6 billion in 2019, although the report describes an estimated GDP contribution, which should not automatically be treated as the same measure as tourism receipts or revenue. The document also includes estimates for other countries and a separate column of pandemic-affected figures, making the distinction between the 2019 baseline and later conditions important. It supports the broad claim that LGBTQ+ tourism represents a substantial economic opportunity in Thailand, while also showing that the number is an estimate rather than a directly audited official total. The table is a focused statistical source, not a narrative discussion of Thai government policy or tourism campaigns. Its estimates should therefore be cited with their stated measure, date and uncertainty, rather than presented as an exact count of money spent by LGBTQ+ visitors.</w:t>
      </w:r>
      <w:r/>
    </w:p>
    <w:p>
      <w:pPr>
        <w:pStyle w:val="ListNumber"/>
        <w:spacing w:line="240" w:lineRule="auto"/>
        <w:ind w:left="720"/>
      </w:pPr>
      <w:r/>
      <w:hyperlink r:id="rId14">
        <w:r>
          <w:rPr>
            <w:color w:val="0000EE"/>
            <w:u w:val="single"/>
          </w:rPr>
          <w:t>https://www.cea.or.th/en/single-research/cea-soft-power</w:t>
        </w:r>
      </w:hyperlink>
      <w:r>
        <w:t xml:space="preserve"> - Thailand’s Creative Economy Agency describes the growth of Thai Y-series, particularly dramas centred on romantic relationships between male characters, as a cultural and economic phenomenon. The page says this content has moved from a niche to a more mainstream position and discusses the associated “Y Economy”, which generates value through domestic and international audiences. It identifies Thailand as a leading producer in the field and notes popularity in markets including Taiwan, Indonesia and the Philippines. It also refers to international business interest in buying Thai Y-series content, citing Japan, Taiwan and Vietnam among potential buyers, and gives figures on the sector’s market value and possible content sales. This material supports the article’s argument that Thai LGBTQ+-related screen culture has acquired international reach and can contribute to the country’s soft power and creative economy. It offers evidence of commercial and cultural activity, rather than a detailed account of government diplomacy or audiences in every region named in the article. The agency’s framing also illustrates how public institutions connect cultural exports with economic development. As a government agency source, it is useful for the official policy and industry perspective, while its market claims should be understood in the scope and timeframe stated on the page.</w:t>
      </w:r>
      <w:r/>
    </w:p>
    <w:p>
      <w:pPr>
        <w:pStyle w:val="ListNumber"/>
        <w:spacing w:line="240" w:lineRule="auto"/>
        <w:ind w:left="720"/>
      </w:pPr>
      <w:r/>
      <w:hyperlink r:id="rId15">
        <w:r>
          <w:rPr>
            <w:color w:val="0000EE"/>
            <w:u w:val="single"/>
          </w:rPr>
          <w:t>https://bangkok.ohchr.org/news/2016/news-release-un-human-rights-office-bangkok-welcomes-new-mandate-sogi-human-rights</w:t>
        </w:r>
      </w:hyperlink>
      <w:r>
        <w:t xml:space="preserve"> - The UN Human Rights Office in Bangkok’s 2016 release welcomes the Human Rights Council’s decision to establish an Independent Expert mandate on protection from violence and discrimination based on sexual orientation and gender identity. It outlines the mandate’s responsibilities: assessing how existing international human rights instruments apply, identifying ways to overcome discrimination and violence, and addressing their root causes. The release urges states in the region to cooperate with and support the new mandate. This source supports the article’s discussion of the UN mechanism and the international context for Thailand’s engagement with sexual orientation and gender identity issues. It also provides a contemporaneous explanation of what the Independent Expert role was intended to do. However, the release does not itself document Thailand’s voting record on the resolution, establish that Thailand supported every relevant UN initiative, or identify the first person appointed to the position. Those specific claims need separate evidence. The page is therefore relevant background for the article’s description of the 2016 mandate and its human-rights purpose, rather than comprehensive proof of the Thai government’s diplomatic record. It also frames the issue in terms of protection from violence and discrimination, which is broader than tourism promotion or national branding.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astasiaforum.org/2026/11/05/rainbow-statecraft-and-thailands-soft-power-pivot-in-the-race-for-worldpride-2030/" TargetMode="External"/><Relationship Id="rId10" Type="http://schemas.openxmlformats.org/officeDocument/2006/relationships/hyperlink" Target="https://thailand.go.th/public/event-detail/--world-pride-amsterdam-2026--world-pride-bangkok-2030" TargetMode="External"/><Relationship Id="rId11" Type="http://schemas.openxmlformats.org/officeDocument/2006/relationships/hyperlink" Target="https://thailand.prd.go.th/en/content/category/detail/id/52/iid/355315" TargetMode="External"/><Relationship Id="rId12" Type="http://schemas.openxmlformats.org/officeDocument/2006/relationships/hyperlink" Target="https://www.interpride.org/worldpride/" TargetMode="External"/><Relationship Id="rId13" Type="http://schemas.openxmlformats.org/officeDocument/2006/relationships/hyperlink" Target="https://www.lgbt-capital.com/docs/Estimated_LGBT-GDP_Tourism_%28table%29_-_2023.pdf" TargetMode="External"/><Relationship Id="rId14" Type="http://schemas.openxmlformats.org/officeDocument/2006/relationships/hyperlink" Target="https://www.cea.or.th/en/single-research/cea-soft-power" TargetMode="External"/><Relationship Id="rId15" Type="http://schemas.openxmlformats.org/officeDocument/2006/relationships/hyperlink" Target="https://bangkok.ohchr.org/news/2016/news-release-un-human-rights-office-bangkok-welcomes-new-mandate-sogi-human-r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