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Ron Amato's Queer Love Portraits Put Marriage Equality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series of 40 black-and-white portraits in Provincetown brings LGBTQ+ couples and families into view, from newlyweds to partners who have shared decades together. Photographer Ron Amato began the project amid renewed legal debate over same-sex marriage. The pictures make the stakes feel personal: not an abstract argument, but a life built together.</w:t>
      </w:r>
      <w:r/>
    </w:p>
    <w:p>
      <w:pPr>
        <w:pStyle w:val="Heading2"/>
      </w:pPr>
      <w:r>
        <w:t>Essential Takeaways</w:t>
      </w:r>
      <w:r/>
      <w:r/>
    </w:p>
    <w:p>
      <w:pPr>
        <w:pStyle w:val="ListBullet"/>
        <w:spacing w:line="240" w:lineRule="auto"/>
        <w:ind w:left="720"/>
      </w:pPr>
      <w:r/>
      <w:r>
        <w:rPr>
          <w:b/>
        </w:rPr>
        <w:t>Forty portraits:</w:t>
      </w:r>
      <w:r>
        <w:t xml:space="preserve"> Ron Amato's Queer Love series celebrates LGBTQ+ couples and families through black-and-white photography.</w:t>
      </w:r>
      <w:r/>
    </w:p>
    <w:p>
      <w:pPr>
        <w:pStyle w:val="ListBullet"/>
        <w:spacing w:line="240" w:lineRule="auto"/>
        <w:ind w:left="720"/>
      </w:pPr>
      <w:r/>
      <w:r>
        <w:rPr>
          <w:b/>
        </w:rPr>
        <w:t>A Provincetown exhibition:</w:t>
      </w:r>
      <w:r>
        <w:t xml:space="preserve"> The show is scheduled at Provincetown Commons from November 11 to December 6, with a reception on November 13.</w:t>
      </w:r>
      <w:r/>
    </w:p>
    <w:p>
      <w:pPr>
        <w:pStyle w:val="ListBullet"/>
        <w:spacing w:line="240" w:lineRule="auto"/>
        <w:ind w:left="720"/>
      </w:pPr>
      <w:r/>
      <w:r>
        <w:rPr>
          <w:b/>
        </w:rPr>
        <w:t>Long relationships take centre stage:</w:t>
      </w:r>
      <w:r>
        <w:t xml:space="preserve"> Participants include couples together for decades, as well as parents and children and a throuple.</w:t>
      </w:r>
      <w:r/>
    </w:p>
    <w:p>
      <w:pPr>
        <w:pStyle w:val="ListBullet"/>
        <w:spacing w:line="240" w:lineRule="auto"/>
        <w:ind w:left="720"/>
      </w:pPr>
      <w:r/>
      <w:r>
        <w:rPr>
          <w:b/>
        </w:rPr>
        <w:t>A legal backdrop:</w:t>
      </w:r>
      <w:r>
        <w:t xml:space="preserve"> The project was prompted by renewed concern about the future of marriage equality after an appeal challenging the landmark ruling reached the Supreme Court.</w:t>
      </w:r>
      <w:r/>
      <w:r/>
    </w:p>
    <w:p>
      <w:pPr>
        <w:pStyle w:val="Heading2"/>
      </w:pPr>
      <w:r>
        <w:t>These portraits make the debate personal</w:t>
      </w:r>
      <w:r/>
    </w:p>
    <w:p>
      <w:r/>
      <w:r>
        <w:t>The most striking thing about Queer Love is its quietness. In Ron Amato's black-and-white portraits, couples look at ease with one another, sometimes with a child or a dog close by. The result feels intimate rather than staged, and that simplicity is part of the point.</w:t>
      </w:r>
      <w:r/>
    </w:p>
    <w:p>
      <w:r/>
      <w:r>
        <w:t>Amato began the project after hearing that Kim Davis, a former Kentucky county clerk who had refused to issue marriage licences to same-sex couples, was seeking to overturn Obergefell v. Hodges. The Supreme Court declined to hear the appeal in November 2025, but the episode brought fresh attention to the legal security of same-sex marriage. Associated Press coverage reported on the court's decision and the challenge behind it.</w:t>
      </w:r>
      <w:r/>
    </w:p>
    <w:p>
      <w:pPr>
        <w:pStyle w:val="Heading2"/>
      </w:pPr>
      <w:r>
        <w:t>A history of love measured in decades</w:t>
      </w:r>
      <w:r/>
    </w:p>
    <w:p>
      <w:r/>
      <w:r>
        <w:t>The portraits hold very different timelines. Rob Compton and David Wilson, plaintiffs in the Massachusetts marriage equality case Goodridge v. Department of Public Health, have been together for 29 years and married for 22. They wed on May 17, 2004, the first day same-sex marriage became legal in Massachusetts.</w:t>
      </w:r>
      <w:r/>
    </w:p>
    <w:p>
      <w:r/>
      <w:r>
        <w:t>That date followed a landmark state court ruling. In Goodridge, the Massachusetts Supreme Judicial Court found that excluding same-sex couples from civil marriage violated state constitutional protections. The ruling helped turn marriage equality from a distant possibility into a lived reality for couples in the state.</w:t>
      </w:r>
      <w:r/>
    </w:p>
    <w:p>
      <w:r/>
      <w:r>
        <w:t>Other participants bring their own histories into the frame. James Connors and Robert Rindler have shared 50 years together, while Marian Roth and Mary DeAngelis have been together for 42 years and married in Provincetown on the first day it was legal in Massachusetts. Their stories give the series a sense of time that no legal headline can quite capture.</w:t>
      </w:r>
      <w:r/>
    </w:p>
    <w:p>
      <w:pPr>
        <w:pStyle w:val="Heading2"/>
      </w:pPr>
      <w:r>
        <w:t>Families, chosen and traditional, belong in the picture</w:t>
      </w:r>
      <w:r/>
    </w:p>
    <w:p>
      <w:r/>
      <w:r>
        <w:t>Queer Love also widens the lens beyond couples. Stephen Walker and Patrick Wilson appear with their son, Theo, while Jill and Casey Cormier are pictured with their children, Brooklyn and Parker. A throuple, Jeff Krehely, John Mainella and Michael Pettry, is included too, offering a glimpse of a family structure that participants say is often overlooked.</w:t>
      </w:r>
      <w:r/>
    </w:p>
    <w:p>
      <w:r/>
      <w:r>
        <w:t>That range matters because visibility isn't only about being recognised as a couple. It's also about seeing the varied ways people build a home and care for one another. The portraits quietly challenge the idea that there is just one familiar shape to family life.</w:t>
      </w:r>
      <w:r/>
    </w:p>
    <w:p>
      <w:pPr>
        <w:pStyle w:val="Heading2"/>
      </w:pPr>
      <w:r>
        <w:t>Why marriage equality still feels close to home</w:t>
      </w:r>
      <w:r/>
    </w:p>
    <w:p>
      <w:r/>
      <w:r>
        <w:t>The exhibition arrives against a long-running legal and political backdrop. Obergefell v. Hodges established the right to same-sex marriage nationwide in 2015, following years of legal challenges and campaigning. The Supreme Court's decision not to hear Davis's appeal left the ruling in place, but the renewed challenge was enough to prompt concern among people who remember how hard-won that protection was.</w:t>
      </w:r>
      <w:r/>
    </w:p>
    <w:p>
      <w:r/>
      <w:r>
        <w:t>For Amato, photography offered a way to bring attention back to the people behind the arguments. His artist statement describes a desire to show the humanity that political debate can push to the margins. That's a simple idea, but a powerful one: sometimes a face, a hand resting on a shoulder, or a family standing together says more than another round of abstract commentary.</w:t>
      </w:r>
      <w:r/>
    </w:p>
    <w:p>
      <w:pPr>
        <w:pStyle w:val="Heading2"/>
      </w:pPr>
      <w:r>
        <w:t>How to see Queer Love in Provincetown</w:t>
      </w:r>
      <w:r/>
    </w:p>
    <w:p>
      <w:r/>
      <w:r>
        <w:t>The exhibition is scheduled to open at Provincetown Commons on November 11 and run through December 6. An opening reception is listed for November 13, from 5 to 7 p.m., giving visitors a chance to see the portraits together rather than as individual images on a screen.</w:t>
      </w:r>
      <w:r/>
    </w:p>
    <w:p>
      <w:r/>
      <w:r>
        <w:t>If you're visiting, take time with the captions as well as the photographs. The couples' reflections add the texture of ordinary life: long partnerships, family milestones, hard-won recognition, and the decision to keep showing up for one another. That's where the series finds its warmth.</w:t>
      </w:r>
      <w:r/>
    </w:p>
    <w:p>
      <w:r/>
      <w:r>
        <w:t>A good portrait can make a political question feel human; Queer Love makes that point one face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1">
        <w:r>
          <w:rPr>
            <w:color w:val="0000EE"/>
            <w:u w:val="single"/>
          </w:rPr>
          <w:t>[4]</w:t>
        </w:r>
      </w:hyperlink>
      <w:r>
        <w:t xml:space="preserve">- Paragraph 3: </w:t>
      </w:r>
      <w:hyperlink r:id="rId12">
        <w:r>
          <w:rPr>
            <w:color w:val="0000EE"/>
            <w:u w:val="single"/>
          </w:rPr>
          <w:t>[5]</w:t>
        </w:r>
      </w:hyperlink>
      <w:r>
        <w:t xml:space="preserve">- Paragraph 4: </w:t>
      </w:r>
      <w:hyperlink r:id="rId13">
        <w:r>
          <w:rPr>
            <w:color w:val="0000EE"/>
            <w:u w:val="single"/>
          </w:rPr>
          <w:t>[6]</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14">
        <w:r>
          <w:rPr>
            <w:color w:val="0000EE"/>
            <w:u w:val="single"/>
          </w:rPr>
          <w:t>[7]</w:t>
        </w:r>
      </w:hyperlink>
      <w:r>
        <w:t xml:space="preserve">- Paragraph 8: </w:t>
      </w:r>
      <w:hyperlink r:id="rId11">
        <w:r>
          <w:rPr>
            <w:color w:val="0000EE"/>
            <w:u w:val="single"/>
          </w:rPr>
          <w:t>[4]</w:t>
        </w:r>
      </w:hyperlink>
      <w:r>
        <w:t xml:space="preserve">- Paragraph 9: </w:t>
      </w:r>
      <w:hyperlink r:id="rId10">
        <w:r>
          <w:rPr>
            <w:color w:val="0000EE"/>
            <w:u w:val="single"/>
          </w:rPr>
          <w:t>[3]</w:t>
        </w:r>
      </w:hyperlink>
      <w:r>
        <w:t xml:space="preserve">- Paragraph 10: </w:t>
      </w:r>
      <w:hyperlink r:id="rId9">
        <w:r>
          <w:rPr>
            <w:color w:val="0000EE"/>
            <w:u w:val="single"/>
          </w:rPr>
          <w:t>[2]</w:t>
        </w:r>
      </w:hyperlink>
      <w:r>
        <w:t xml:space="preserve">- Paragraph 11: </w:t>
      </w:r>
      <w:hyperlink r:id="rId10">
        <w:r>
          <w:rPr>
            <w:color w:val="0000EE"/>
            <w:u w:val="single"/>
          </w:rPr>
          <w:t>[3]</w:t>
        </w:r>
      </w:hyperlink>
      <w:r>
        <w:t xml:space="preserve">- Paragraph 12: </w:t>
      </w:r>
      <w:hyperlink r:id="rId9">
        <w:r>
          <w:rPr>
            <w:color w:val="0000EE"/>
            <w:u w:val="single"/>
          </w:rPr>
          <w:t>[2]</w:t>
        </w:r>
      </w:hyperlink>
      <w:r>
        <w:t xml:space="preserve">- Paragraph 13: </w:t>
      </w:r>
      <w:hyperlink r:id="rId11">
        <w:r>
          <w:rPr>
            <w:color w:val="0000EE"/>
            <w:u w:val="single"/>
          </w:rPr>
          <w:t>[4]</w:t>
        </w:r>
      </w:hyperlink>
      <w:r>
        <w:t xml:space="preserve">- Paragraph 14: </w:t>
      </w:r>
      <w:hyperlink r:id="rId10">
        <w:r>
          <w:rPr>
            <w:color w:val="0000EE"/>
            <w:u w:val="single"/>
          </w:rPr>
          <w:t>[3]</w:t>
        </w:r>
      </w:hyperlink>
      <w:r>
        <w:t xml:space="preserve">- Paragraph 15: </w:t>
      </w:r>
      <w:hyperlink r:id="rId9">
        <w:r>
          <w:rPr>
            <w:color w:val="0000EE"/>
            <w:u w:val="single"/>
          </w:rPr>
          <w:t>[2]</w:t>
        </w:r>
      </w:hyperlink>
      <w:r>
        <w:t xml:space="preserve">- Paragraph 16: </w:t>
      </w:r>
      <w:hyperlink r:id="rId9">
        <w:r>
          <w:rPr>
            <w:color w:val="0000EE"/>
            <w:u w:val="single"/>
          </w:rPr>
          <w:t>[2]</w:t>
        </w:r>
      </w:hyperlink>
      <w:r>
        <w:t xml:space="preserve">- Paragraph 17: </w:t>
      </w:r>
      <w:hyperlink r:id="rId10">
        <w:r>
          <w:rPr>
            <w:color w:val="0000EE"/>
            <w:u w:val="single"/>
          </w:rPr>
          <w:t>[3]</w:t>
        </w:r>
      </w:hyperlink>
      <w:r>
        <w:t xml:space="preserve">- Paragraph 18: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https://www.out.com/photography/portraits-ron-amato-marriage-equality</w:t>
        </w:r>
      </w:hyperlink>
      <w:r>
        <w:t xml:space="preserve"> - Please view link - unable to able to access data</w:t>
      </w:r>
      <w:r/>
    </w:p>
    <w:p>
      <w:pPr>
        <w:pStyle w:val="ListNumber"/>
        <w:spacing w:line="240" w:lineRule="auto"/>
        <w:ind w:left="720"/>
      </w:pPr>
      <w:r/>
      <w:hyperlink r:id="rId9">
        <w:r>
          <w:rPr>
            <w:color w:val="0000EE"/>
            <w:u w:val="single"/>
          </w:rPr>
          <w:t>https://www.out.com/photography/portraits-ron-amato-marriage-equality</w:t>
        </w:r>
      </w:hyperlink>
      <w:r>
        <w:t xml:space="preserve"> - Out’s feature introduces Ron Amato’s Queer Love portrait project, a series of black-and-white photographs of LGBTQ+ couples and families. It explains that the project grew from Amato’s concern about political and legal challenges to marriage equality, including former Kentucky clerk Kim Davis’s attempt to revive opposition to the nationwide marriage ruling. The article describes Amato’s intention to place the lives and humanity of queer people at the centre of public debate, and notes his inspiration from portrait photographer Yousuf Karsh. It reports that the Provincetown exhibition includes 40 portraits and presents 26 of them alongside participants’ stories and reflections. The accounts range from newly married couples to partners who have shared decades together, parents with children, and a throuple. Several participants discuss the importance of visibility, legal protection, representation and documenting queer history. The article also recounts the Massachusetts Goodridge case and identifies Robert Compton and David Wilson as plaintiffs who married on the first day same-sex marriage became legal in the state. It gives exhibition dates and reception details and frames the portraits as a celebration of love, persistence and family life amid political uncertainty. This is the primary source for the project’s stated purpose, participant quotations and individual portraits.</w:t>
      </w:r>
      <w:r/>
    </w:p>
    <w:p>
      <w:pPr>
        <w:pStyle w:val="ListNumber"/>
        <w:spacing w:line="240" w:lineRule="auto"/>
        <w:ind w:left="720"/>
      </w:pPr>
      <w:r/>
      <w:hyperlink r:id="rId10">
        <w:r>
          <w:rPr>
            <w:color w:val="0000EE"/>
            <w:u w:val="single"/>
          </w:rPr>
          <w:t>https://www.provincetowncommons.org/commons-events/ammato</w:t>
        </w:r>
      </w:hyperlink>
      <w:r>
        <w:t xml:space="preserve"> - The Provincetown Commons event page announces Queer Love, an exhibition by Ron Amato, at 46 Bradford Street in Provincetown, Massachusetts. It gives the exhibition dates as 11–22 November 2026 and lists an opening reception on Friday 13 November from 5pm to 7pm. The page also provides gallery hours and identifies the venue. Its artist statement explains the project’s central purpose: political discussion can overlook the humanity of people affected by policy and law, so the portrait series aims to focus attention on the LGBTQIA+ individuals whose lives are shaped by those debates, particularly disputes concerning the right to marry. This statement supports the article’s description of the work as a human-centred response to political controversies over equality. The page includes a short biography describing Amato as a professor in the Photography and Related Media Department at the Fashion Institute of Technology in New York. It notes his commercial photography career, published monographs and exhibitions, and highlights his 2024 book Artists of Provincetown, a collection of portraits developed over eight years. As the event organiser’s own listing, this page is especially useful for checking the exhibition location and schedule. It does not independently verify all the couples’ biographies or the article’s wider political context.</w:t>
      </w:r>
      <w:r/>
    </w:p>
    <w:p>
      <w:pPr>
        <w:pStyle w:val="ListNumber"/>
        <w:spacing w:line="240" w:lineRule="auto"/>
        <w:ind w:left="720"/>
      </w:pPr>
      <w:r/>
      <w:hyperlink r:id="rId11">
        <w:r>
          <w:rPr>
            <w:color w:val="0000EE"/>
            <w:u w:val="single"/>
          </w:rPr>
          <w:t>https://apnews.com/article/supreme-court-same-sex-marriage-50eb4ad421911696e742d8c4fb4962fd</w:t>
        </w:r>
      </w:hyperlink>
      <w:r>
        <w:t xml:space="preserve"> - The Associated Press reports that the United States Supreme Court declined to take up Kim Davis’s appeal seeking to overturn the nationwide same-sex marriage precedent. Davis, a former Kentucky county clerk, had refused to issue marriage licences to same-sex couples after the Court’s 2015 decision in Obergefell v. Hodges. The appeal also concerned a lower-court order requiring her to pay damages and legal fees to a couple who had been denied a licence. The report describes the Court’s action as a rejection of the effort to revisit the marriage ruling and notes that the justices issued no explanation. It recounts Davis’s 2015 defiance of court orders, her brief imprisonment for contempt, and the eventual issuance of licences by her staff. The article also provides political context, including the views expressed by some current justices and the concern of LGBTQ+ advocates that the Court might reconsider the precedent. This reporting supports the article’s account of the Kim Davis challenge and the Court’s refusal to hear it. It does not establish Amato’s personal reaction or the specific date on which he began the photographic project; those details come from the Out feature and the artist’s own statement.</w:t>
      </w:r>
      <w:r/>
    </w:p>
    <w:p>
      <w:pPr>
        <w:pStyle w:val="ListNumber"/>
        <w:spacing w:line="240" w:lineRule="auto"/>
        <w:ind w:left="720"/>
      </w:pPr>
      <w:r/>
      <w:hyperlink r:id="rId12">
        <w:r>
          <w:rPr>
            <w:color w:val="0000EE"/>
            <w:u w:val="single"/>
          </w:rPr>
          <w:t>https://law.justia.com/cases/massachusetts/supreme-court/2003/440-mass-309-2003.html</w:t>
        </w:r>
      </w:hyperlink>
      <w:r>
        <w:t xml:space="preserve"> - This page reproduces the Massachusetts Supreme Judicial Court’s decision in Goodridge v. Department of Public Health. The court considered whether Massachusetts could deny same-sex couples access to civil marriage and concluded that doing so violated the state constitution. It reasoned that excluding couples from marriage denied them its protections, benefits and obligations and was inconsistent with principles of dignity, equality and individual liberty. The decision describes the plaintiffs, their relationships and families, their attempts to obtain marriage licences, and the legal action they brought after clerks refused them. Among those plaintiffs were David Wilson and Robert Compton, whose names also appear in the Out article’s account of Amato’s portrait participants. The case is important background to the feature’s references to the Massachusetts marriage-equality lawsuit and to the couples who helped bring it. The judgment itself establishes the legal holding and documents the plaintiffs’ role in the litigation; it is not a record of their later wedding ceremony or the personal quotations reproduced in the photography feature. The decision ordered that denying civil marriage solely because a person wished to marry someone of the same sex was unconstitutional under Massachusetts law. The page therefore provides direct legal source material for the historical foundation behind the article’s Goodridge references.</w:t>
      </w:r>
      <w:r/>
    </w:p>
    <w:p>
      <w:pPr>
        <w:pStyle w:val="ListNumber"/>
        <w:spacing w:line="240" w:lineRule="auto"/>
        <w:ind w:left="720"/>
      </w:pPr>
      <w:r/>
      <w:hyperlink r:id="rId13">
        <w:r>
          <w:rPr>
            <w:color w:val="0000EE"/>
            <w:u w:val="single"/>
          </w:rPr>
          <w:t>https://www.pbs.org/newshour/politics/law-jan-june04-gaymarriage_05-17</w:t>
        </w:r>
      </w:hyperlink>
      <w:r>
        <w:t xml:space="preserve"> - This PBS NewsHour report covers the start of legally recognised same-sex marriages in Massachusetts on 17 May 2004. It describes couples arriving to obtain marriage licences after the state became the first in the United States to allow same-sex couples to marry. The report connects the day’s events to Goodridge v. Department of Public Health, the lawsuit that led to the Massachusetts Supreme Judicial Court’s landmark ruling. It notes that the Goodridge plaintiffs, including Hillary and Julie Goodridge, had sued the state after being denied marriage licences. The article provides historical context for the Out feature’s references to Massachusetts couples who married on the first day marriage equality took effect, including the claim that Goodridge plaintiffs Robert Compton and David Wilson were among the first to marry. PBS’s coverage is a contemporaneous account of the legal change and the public ceremonies surrounding it, rather than a profile of the couples in Amato’s modern portrait series. It helps substantiate the broader timeline behind the feature: the court ruling preceded implementation, and couples began marrying on 17 May 2004. Readers should consult the court judgment for the precise legal reasoning and the Out article for the specific participants’ present-day reflections and portrait captions.</w:t>
      </w:r>
      <w:r/>
    </w:p>
    <w:p>
      <w:pPr>
        <w:pStyle w:val="ListNumber"/>
        <w:spacing w:line="240" w:lineRule="auto"/>
        <w:ind w:left="720"/>
      </w:pPr>
      <w:r/>
      <w:hyperlink r:id="rId14">
        <w:r>
          <w:rPr>
            <w:color w:val="0000EE"/>
            <w:u w:val="single"/>
          </w:rPr>
          <w:t>https://www.law.cornell.edu/supremecourt/text/14-556</w:t>
        </w:r>
      </w:hyperlink>
      <w:r>
        <w:t xml:space="preserve"> - Cornell Law School’s Legal Information Institute provides the Supreme Court opinion in Obergefell v. Hodges, decided on 26 June 2015. The case combined challenges from same-sex couples in Michigan, Kentucky, Ohio and Tennessee, who argued that states could not refuse to license their marriages or recognise marriages lawfully performed elsewhere. The Court held that the Fourteenth Amendment requires states to license marriages between two people of the same sex and recognise such marriages performed in other states. The decision established nationwide constitutional protection for same-sex marriage and is the landmark ruling referenced in the Out article’s discussion of marriage equality. The page includes the opinion and its syllabus, outlining the constitutional basis for the decision and the Court’s treatment of liberty, equality and the fundamental right to marry. It is a primary legal source for what Obergefell held, rather than a report about later challenges to the precedent. The article’s separate account of Kim Davis’s appeal and the Supreme Court’s later refusal to hear it is supported by contemporary news coverage. Taken together, the opinion and the reporting provide legal and historical context for the portrait project’s concern that established rights may face renewed political and judicial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photography/portraits-ron-amato-marriage-equality" TargetMode="External"/><Relationship Id="rId10" Type="http://schemas.openxmlformats.org/officeDocument/2006/relationships/hyperlink" Target="https://www.provincetowncommons.org/commons-events/ammato" TargetMode="External"/><Relationship Id="rId11" Type="http://schemas.openxmlformats.org/officeDocument/2006/relationships/hyperlink" Target="https://apnews.com/article/supreme-court-same-sex-marriage-50eb4ad421911696e742d8c4fb4962fd" TargetMode="External"/><Relationship Id="rId12" Type="http://schemas.openxmlformats.org/officeDocument/2006/relationships/hyperlink" Target="https://law.justia.com/cases/massachusetts/supreme-court/2003/440-mass-309-2003.html" TargetMode="External"/><Relationship Id="rId13" Type="http://schemas.openxmlformats.org/officeDocument/2006/relationships/hyperlink" Target="https://www.pbs.org/newshour/politics/law-jan-june04-gaymarriage_05-17" TargetMode="External"/><Relationship Id="rId14" Type="http://schemas.openxmlformats.org/officeDocument/2006/relationships/hyperlink" Target="https://www.law.cornell.edu/supremecourt/text/14-55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