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Rising Anti-LGBTQ+ Laws: What the Global Numbers Reveal</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Across the world, LGBTQ+ people face a shifting patchwork of criminal laws and restrictions on expression, advocacy and everyday life. Recent research points to a troubling rise in criminalisation, while figures on school bullying and healthcare access show how legal hostility can echo far beyond the courtroom.</w:t>
      </w:r>
      <w:r/>
    </w:p>
    <w:p>
      <w:pPr>
        <w:pStyle w:val="Heading2"/>
      </w:pPr>
      <w:r>
        <w:t>Criminalisation is rising again</w:t>
      </w:r>
      <w:r/>
    </w:p>
    <w:p>
      <w:r/>
      <w:r>
        <w:t>The global picture is stark: ILGA World says the number of states criminalising consensual same-sex sexual activity rose in 2025 for the first time in almost a decade. Its database counts 65 UN member states with such laws, a reminder that legal protections can move backwards as well as forwards.</w:t>
      </w:r>
      <w:r/>
    </w:p>
    <w:p>
      <w:r/>
      <w:r>
        <w:t xml:space="preserve">The Human Dignity Trust counts 66 countries or jurisdictions that criminalise LGBT people. It says the death penalty is imposed or legally possible in 13 jurisdictions for consensual same-sex activity. The figures use different categories, so they shouldn't be treated as directly interchangeable, but both show how serious the risks remain. </w:t>
      </w:r>
      <w:hyperlink r:id="rId9">
        <w:r>
          <w:rPr>
            <w:color w:val="0000EE"/>
            <w:u w:val="single"/>
          </w:rPr>
          <w:t>[2]</w:t>
        </w:r>
      </w:hyperlink>
      <w:r>
        <w:t xml:space="preserve">, </w:t>
      </w:r>
      <w:hyperlink r:id="rId10">
        <w:r>
          <w:rPr>
            <w:color w:val="0000EE"/>
            <w:u w:val="single"/>
          </w:rPr>
          <w:t>[3]</w:t>
        </w:r>
      </w:hyperlink>
      <w:r/>
    </w:p>
    <w:p>
      <w:pPr>
        <w:pStyle w:val="Heading2"/>
      </w:pPr>
      <w:r>
        <w:t>Restrictions reach well beyond the criminal code</w:t>
      </w:r>
      <w:r/>
    </w:p>
    <w:p>
      <w:r/>
      <w:r>
        <w:t>Criminalisation is only one part of the picture. ILGA World's legal mapping also tracks restrictions on expression linked to sexual, gender or bodily diversity, and barriers facing organisations that advocate for LGBTI rights.</w:t>
      </w:r>
      <w:r/>
    </w:p>
    <w:p>
      <w:r/>
      <w:r>
        <w:t xml:space="preserve">The gap between legal recognition and legal protection is just as striking. Only 18 UN member states allow national legal gender recognition based on self-determination, while 37 UN member states and Taiwan have marriage equality. These measures don't capture every person's lived experience, but they help show how uneven basic rights remain from one country to another. </w:t>
      </w:r>
      <w:hyperlink r:id="rId11">
        <w:r>
          <w:rPr>
            <w:color w:val="0000EE"/>
            <w:u w:val="single"/>
          </w:rPr>
          <w:t>[4]</w:t>
        </w:r>
      </w:hyperlink>
      <w:r/>
    </w:p>
    <w:p>
      <w:pPr>
        <w:pStyle w:val="Heading2"/>
      </w:pPr>
      <w:r>
        <w:t>School bullying and stigma have a human cost</w:t>
      </w:r>
      <w:r/>
    </w:p>
    <w:p>
      <w:r/>
      <w:r>
        <w:t>For young people, hostile attitudes can follow them into the classroom. UNESCO reports that 54% of surveyed LGBTQI youth in Europe had experienced bullying related to gender expression, gender identity, sex characteristics or sexual orientation. Negative comments were widespread, and 67% said they had been targeted.</w:t>
      </w:r>
      <w:r/>
    </w:p>
    <w:p>
      <w:r/>
      <w:r>
        <w:t xml:space="preserve">Healthcare can bring another barrier. UNAIDS reports that a median of 16% of men who have sex with men across surveyed settings experienced stigma or discrimination. The same analysis found that 9.4% avoided healthcare because of stigma or discrimination. Those numbers put a human face on a problem that can otherwise sound like a distant policy debate. </w:t>
      </w:r>
      <w:hyperlink r:id="rId12">
        <w:r>
          <w:rPr>
            <w:color w:val="0000EE"/>
            <w:u w:val="single"/>
          </w:rPr>
          <w:t>[5]</w:t>
        </w:r>
      </w:hyperlink>
      <w:r>
        <w:t xml:space="preserve">, </w:t>
      </w:r>
      <w:hyperlink r:id="rId13">
        <w:r>
          <w:rPr>
            <w:color w:val="0000EE"/>
            <w:u w:val="single"/>
          </w:rPr>
          <w:t>[6]</w:t>
        </w:r>
      </w:hyperlink>
      <w:r/>
    </w:p>
    <w:p>
      <w:pPr>
        <w:pStyle w:val="Heading2"/>
      </w:pPr>
      <w:r>
        <w:t>Political momentum is worth watching</w:t>
      </w:r>
      <w:r/>
    </w:p>
    <w:p>
      <w:r/>
      <w:r>
        <w:t>Developments in Africa show how quickly political rhetoric can turn into proposals for new restrictions. Reuters reported that more than a dozen African countries pledged to pursue new anti-LGBT bills after a conference in Ghana, where 20 national representatives attended and 18 approved a "family values" charter.</w:t>
      </w:r>
      <w:r/>
    </w:p>
    <w:p>
      <w:r/>
      <w:r>
        <w:t xml:space="preserve">That doesn't mean every pledge will become law. But it does make the political climate worth watching, particularly in a region where more than 30 of 54 countries already criminalise consensual same-sex sexual activity, according to the figures cited in the lead report. </w:t>
      </w:r>
      <w:hyperlink r:id="rId14">
        <w:r>
          <w:rPr>
            <w:color w:val="0000EE"/>
            <w:u w:val="single"/>
          </w:rPr>
          <w:t>[7]</w:t>
        </w:r>
      </w:hyperlink>
      <w:r>
        <w:t xml:space="preserve">, </w:t>
      </w:r>
      <w:hyperlink r:id="rId10">
        <w:r>
          <w:rPr>
            <w:color w:val="0000EE"/>
            <w:u w:val="single"/>
          </w:rPr>
          <w:t>[3]</w:t>
        </w:r>
      </w:hyperlink>
      <w:r/>
    </w:p>
    <w:p>
      <w:pPr>
        <w:pStyle w:val="Heading2"/>
      </w:pPr>
      <w:r>
        <w:t>What these figures can and can't tell us</w:t>
      </w:r>
      <w:r/>
    </w:p>
    <w:p>
      <w:r/>
      <w:r>
        <w:t>Legal maps offer a useful starting point, not a complete account of daily life. Definitions, jurisdictions and enforcement differ, and a law's existence doesn't tell us everything about how often it's applied or how people experience it.</w:t>
      </w:r>
      <w:r/>
    </w:p>
    <w:p>
      <w:r/>
      <w:r>
        <w:t xml:space="preserve">Still, the combined picture is hard to shrug off: criminal laws, limits on advocacy, school bullying and healthcare stigma can reinforce one another. Tracking changes matters, but so does listening to the people living with them. </w:t>
      </w:r>
      <w:hyperlink r:id="rId9">
        <w:r>
          <w:rPr>
            <w:color w:val="0000EE"/>
            <w:u w:val="single"/>
          </w:rPr>
          <w:t>[2]</w:t>
        </w:r>
      </w:hyperlink>
      <w:r>
        <w:t xml:space="preserve">, </w:t>
      </w:r>
      <w:hyperlink r:id="rId11">
        <w:r>
          <w:rPr>
            <w:color w:val="0000EE"/>
            <w:u w:val="single"/>
          </w:rPr>
          <w:t>[4]</w:t>
        </w:r>
      </w:hyperlink>
      <w:r>
        <w:t xml:space="preserve">, </w:t>
      </w:r>
      <w:hyperlink r:id="rId12">
        <w:r>
          <w:rPr>
            <w:color w:val="0000EE"/>
            <w:u w:val="single"/>
          </w:rPr>
          <w:t>[5]</w:t>
        </w:r>
      </w:hyperlink>
      <w:r>
        <w:t xml:space="preserve">, </w:t>
      </w:r>
      <w:hyperlink r:id="rId13">
        <w:r>
          <w:rPr>
            <w:color w:val="0000EE"/>
            <w:u w:val="single"/>
          </w:rPr>
          <w:t>[6]</w:t>
        </w:r>
      </w:hyperlink>
      <w:r/>
    </w:p>
    <w:p>
      <w:r/>
      <w:r>
        <w:t>It's worth keeping an eye on both the laws on the books and the lives behind the numbers.</w:t>
      </w:r>
      <w:r/>
    </w:p>
    <w:p>
      <w:pPr>
        <w:pStyle w:val="Heading3"/>
      </w:pPr>
      <w:r>
        <w:t>Source Reference Map</w:t>
      </w:r>
      <w:r/>
    </w:p>
    <w:p>
      <w:r/>
      <w:r>
        <w:rPr>
          <w:b/>
        </w:rPr>
        <w:t>Story idea inspired by:</w:t>
      </w:r>
      <w:r>
        <w:t xml:space="preserve"> </w:t>
      </w:r>
      <w:hyperlink r:id="rId15">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9">
        <w:r>
          <w:rPr>
            <w:color w:val="0000EE"/>
            <w:u w:val="single"/>
          </w:rPr>
          <w:t>[2]</w:t>
        </w:r>
      </w:hyperlink>
      <w:r>
        <w:t xml:space="preserve">, </w:t>
      </w:r>
      <w:hyperlink r:id="rId10">
        <w:r>
          <w:rPr>
            <w:color w:val="0000EE"/>
            <w:u w:val="single"/>
          </w:rPr>
          <w:t>[3]</w:t>
        </w:r>
      </w:hyperlink>
      <w:r>
        <w:t xml:space="preserve">- Paragraph 3: </w:t>
      </w:r>
      <w:hyperlink r:id="rId11">
        <w:r>
          <w:rPr>
            <w:color w:val="0000EE"/>
            <w:u w:val="single"/>
          </w:rPr>
          <w:t>[4]</w:t>
        </w:r>
      </w:hyperlink>
      <w:r>
        <w:t xml:space="preserve">- Paragraph 4: </w:t>
      </w:r>
      <w:hyperlink r:id="rId13">
        <w:r>
          <w:rPr>
            <w:color w:val="0000EE"/>
            <w:u w:val="single"/>
          </w:rPr>
          <w:t>[6]</w:t>
        </w:r>
      </w:hyperlink>
      <w:r>
        <w:t xml:space="preserve">- Paragraph 5: </w:t>
      </w:r>
      <w:hyperlink r:id="rId12">
        <w:r>
          <w:rPr>
            <w:color w:val="0000EE"/>
            <w:u w:val="single"/>
          </w:rPr>
          <w:t>[5]</w:t>
        </w:r>
      </w:hyperlink>
      <w:r>
        <w:t xml:space="preserve">- Paragraph 6: </w:t>
      </w:r>
      <w:hyperlink r:id="rId14">
        <w:r>
          <w:rPr>
            <w:color w:val="0000EE"/>
            <w:u w:val="single"/>
          </w:rPr>
          <w:t>[7]</w:t>
        </w:r>
      </w:hyperlink>
      <w:r>
        <w:t xml:space="preserve">- Paragraph 7: </w:t>
      </w:r>
      <w:hyperlink r:id="rId14">
        <w:r>
          <w:rPr>
            <w:color w:val="0000EE"/>
            <w:u w:val="single"/>
          </w:rPr>
          <w:t>[7]</w:t>
        </w:r>
      </w:hyperlink>
      <w:r>
        <w:t xml:space="preserve">, </w:t>
      </w:r>
      <w:hyperlink r:id="rId10">
        <w:r>
          <w:rPr>
            <w:color w:val="0000EE"/>
            <w:u w:val="single"/>
          </w:rPr>
          <w:t>[3]</w:t>
        </w:r>
      </w:hyperlink>
      <w:r>
        <w:t xml:space="preserve">- Paragraph 8: </w:t>
      </w:r>
      <w:hyperlink r:id="rId9">
        <w:r>
          <w:rPr>
            <w:color w:val="0000EE"/>
            <w:u w:val="single"/>
          </w:rPr>
          <w:t>[2]</w:t>
        </w:r>
      </w:hyperlink>
      <w:r>
        <w:t xml:space="preserve">, </w:t>
      </w:r>
      <w:hyperlink r:id="rId11">
        <w:r>
          <w:rPr>
            <w:color w:val="0000EE"/>
            <w:u w:val="single"/>
          </w:rPr>
          <w:t>[4]</w:t>
        </w:r>
      </w:hyperlink>
      <w:r>
        <w:t xml:space="preserve">- Paragraph 9: </w:t>
      </w:r>
      <w:hyperlink r:id="rId9">
        <w:r>
          <w:rPr>
            <w:color w:val="0000EE"/>
            <w:u w:val="single"/>
          </w:rPr>
          <w:t>[2]</w:t>
        </w:r>
      </w:hyperlink>
      <w:r>
        <w:t xml:space="preserve">, </w:t>
      </w:r>
      <w:hyperlink r:id="rId11">
        <w:r>
          <w:rPr>
            <w:color w:val="0000EE"/>
            <w:u w:val="single"/>
          </w:rPr>
          <w:t>[4]</w:t>
        </w:r>
      </w:hyperlink>
      <w:r>
        <w:t xml:space="preserve">, </w:t>
      </w:r>
      <w:hyperlink r:id="rId12">
        <w:r>
          <w:rPr>
            <w:color w:val="0000EE"/>
            <w:u w:val="single"/>
          </w:rPr>
          <w:t>[5]</w:t>
        </w:r>
      </w:hyperlink>
      <w:r>
        <w:t xml:space="preserve">, </w:t>
      </w:r>
      <w:hyperlink r:id="rId13">
        <w:r>
          <w:rPr>
            <w:color w:val="0000EE"/>
            <w:u w:val="single"/>
          </w:rPr>
          <w:t>[6]</w:t>
        </w:r>
      </w:hyperlink>
      <w:r>
        <w:t xml:space="preserve">- Paragraph 10: </w:t>
      </w:r>
      <w:hyperlink r:id="rId9">
        <w:r>
          <w:rPr>
            <w:color w:val="0000EE"/>
            <w:u w:val="single"/>
          </w:rPr>
          <w:t>[2]</w:t>
        </w:r>
      </w:hyperlink>
      <w:r>
        <w:t xml:space="preserve">, </w:t>
      </w:r>
      <w:hyperlink r:id="rId11">
        <w:r>
          <w:rPr>
            <w:color w:val="0000EE"/>
            <w:u w:val="single"/>
          </w:rPr>
          <w:t>[4]</w:t>
        </w:r>
      </w:hyperlink>
      <w:r>
        <w:t xml:space="preserve">, </w:t>
      </w:r>
      <w:hyperlink r:id="rId12">
        <w:r>
          <w:rPr>
            <w:color w:val="0000EE"/>
            <w:u w:val="single"/>
          </w:rPr>
          <w:t>[5]</w:t>
        </w:r>
      </w:hyperlink>
      <w:r>
        <w:t xml:space="preserve">, </w:t>
      </w:r>
      <w:hyperlink r:id="rId13">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15">
        <w:r>
          <w:rPr>
            <w:color w:val="0000EE"/>
            <w:u w:val="single"/>
          </w:rPr>
          <w:t>https://in-sightpublishing.com/2026/11/05/global-criminalization-and-rising-legal-attacks-on-lgbtqi-rights/</w:t>
        </w:r>
      </w:hyperlink>
      <w:r>
        <w:t xml:space="preserve"> - Please view link - unable to able to access data</w:t>
      </w:r>
      <w:r/>
    </w:p>
    <w:p>
      <w:pPr>
        <w:pStyle w:val="ListNumber"/>
        <w:spacing w:line="240" w:lineRule="auto"/>
        <w:ind w:left="720"/>
      </w:pPr>
      <w:r/>
      <w:hyperlink r:id="rId9">
        <w:r>
          <w:rPr>
            <w:color w:val="0000EE"/>
            <w:u w:val="single"/>
          </w:rPr>
          <w:t>https://database.ilga.org/criminalisation-consensual-same-sex-sexual-acts</w:t>
        </w:r>
      </w:hyperlink>
      <w:r>
        <w:t xml:space="preserve"> - ILGA World’s interactive database tracks laws concerning consensual same-sex sexual acts in United Nations member states and other jurisdictions. It distinguishes criminalisation by law from de facto criminalisation and from jurisdictions where such activity is not criminalised. The database also categorises penalties, including imprisonment and the death penalty, and provides country-level information and legal context. Its figures change as laws and legal interpretations change, so the database’s update date matters when comparing statistics. This is a useful source for checking claims about the number of places criminalising same-sex activity, the countries affected and the punishments prescribed. The data should not be confused with a general assessment of whether LGBTQI people are safe or treated equally: legal status in this category does not capture every restriction, discriminatory practice or threat. The article’s figures may differ from the database’s current totals because the numbers depend on the date, the definition of criminalisation and whether jurisdictions or states are counted. The database also shows that developments can move in either direction, including new criminal laws and repeals. Researchers and readers can use it to examine specific country entries rather than treating a single global total as a timeless figure.</w:t>
      </w:r>
      <w:r/>
    </w:p>
    <w:p>
      <w:pPr>
        <w:pStyle w:val="ListNumber"/>
        <w:spacing w:line="240" w:lineRule="auto"/>
        <w:ind w:left="720"/>
      </w:pPr>
      <w:r/>
      <w:hyperlink r:id="rId10">
        <w:r>
          <w:rPr>
            <w:color w:val="0000EE"/>
            <w:u w:val="single"/>
          </w:rPr>
          <w:t>https://www.humandignitytrust.org/lgbt-the-law/map-of-criminalisation/?type_filter=crim_gender_exp&amp;type_filter_submitted=</w:t>
        </w:r>
      </w:hyperlink>
      <w:r>
        <w:t xml:space="preserve"> - The Human Dignity Trust’s map summarises laws that criminalise LGBT people around the world, including laws against private, consensual same-sex sexual activity and laws targeting transgender people’s gender expression. The map reports 66 countries with jurisdictions that criminalise same-sex activity. It further describes the range of penalties and indicates that the death penalty is imposed or legally possible in jurisdictions within 12 countries. The site explains that these totals refer to jurisdictions, so the count may include subnational areas rather than only entire sovereign states. Its country entries provide more detail than the headline figures, identifying the conduct criminalised and the maximum penalty stated in law. The map also notes that laws targeting women, transgender people and gender expression may not be identical to laws targeting men, and that enforcement and legal risk can vary. These distinctions are important when comparing this organisation’s figures with ILGA World counts or with figures quoted in news reports. The source is particularly relevant to the article’s claims about criminalisation and capital punishment, but it does not by itself verify every separate global statistic about expression, advocacy groups, marriage equality or conversion practices.</w:t>
      </w:r>
      <w:r/>
    </w:p>
    <w:p>
      <w:pPr>
        <w:pStyle w:val="ListNumber"/>
        <w:spacing w:line="240" w:lineRule="auto"/>
        <w:ind w:left="720"/>
      </w:pPr>
      <w:r/>
      <w:hyperlink r:id="rId11">
        <w:r>
          <w:rPr>
            <w:color w:val="0000EE"/>
            <w:u w:val="single"/>
          </w:rPr>
          <w:t>https://ilga.org/ilga-world-maps/</w:t>
        </w:r>
      </w:hyperlink>
      <w:r>
        <w:t xml:space="preserve"> - ILGA World presents a collection of interactive global maps covering laws and policies that affect lesbian, gay, bisexual, transgender, intersex and queer people. Its September 2026 map collection includes criminalisation of consensual same-sex sexual acts, legal gender recognition and self-identification, regulation of conversion practices, and same-sex marriage and civil unions. The page describes the maps as part of a broader database that can be explored interactively and updated as legal developments occur. This makes it a useful starting point for verifying claims in the article that span several distinct legal categories rather than relying on one criminalisation measure. The maps are visually accessible summaries; the underlying database is the place to examine individual jurisdictions and legal details. The page also notes that map material can be reproduced with attribution and without alteration. Since each category has its own definitions and coverage, the maps should not be treated as interchangeable: legal gender recognition differs from marriage recognition, and conversion-practice regulation differs from prohibitions on advocacy or expression. The September 2026 date is important context for comparisons with earlier reporting. This source supports investigation of the article’s claims about self-determination, conversion practices and marriage equality, while specific totals should be checked against the relevant map or database entry.</w:t>
      </w:r>
      <w:r/>
    </w:p>
    <w:p>
      <w:pPr>
        <w:pStyle w:val="ListNumber"/>
        <w:spacing w:line="240" w:lineRule="auto"/>
        <w:ind w:left="720"/>
      </w:pPr>
      <w:r/>
      <w:hyperlink r:id="rId12">
        <w:r>
          <w:rPr>
            <w:color w:val="0000EE"/>
            <w:u w:val="single"/>
          </w:rPr>
          <w:t>https://www.unaids.org/sites/default/files/media_asset/2024-unaids-global-aids-update-gay-men_en.pdf</w:t>
        </w:r>
      </w:hyperlink>
      <w:r>
        <w:t xml:space="preserve"> - This UNAIDS thematic briefing summarises data about gay men and other men who have sex with men in its 2024 global AIDS update. It reports that, across the countries providing data, a median of 16.0 per cent experienced stigma or discrimination in the previous six months. It also reports that a median of 9.4 per cent avoided healthcare because of stigma or discrimination in the previous 12 months. The briefing specifies the number of reporting countries for each measure, making clear that these are medians drawn from available country data rather than estimates for every person worldwide. It also discusses HIV prevalence, prevention-service access, testing, treatment and legal conditions. UNAIDS notes that criminalisation and discriminatory environments can obstruct HIV prevention and care. For example, its data report that 63 countries criminalised consensual same-sex activity as of June 2024, while laws and penalties continued to change. These statistics provide context for the article’s discussion of stigma and healthcare avoidance, but the survey periods and reporting-country counts should accompany any presentation of the percentages. The document’s focus is public health and service access; it does not present the percentages as a complete measure of all forms of stigma or discrimination.</w:t>
      </w:r>
      <w:r/>
    </w:p>
    <w:p>
      <w:pPr>
        <w:pStyle w:val="ListNumber"/>
        <w:spacing w:line="240" w:lineRule="auto"/>
        <w:ind w:left="720"/>
      </w:pPr>
      <w:r/>
      <w:hyperlink r:id="rId13">
        <w:r>
          <w:rPr>
            <w:color w:val="0000EE"/>
            <w:u w:val="single"/>
          </w:rPr>
          <w:t>https://www.unesco.org/gem-report/en/articles/dont-look-away-over-half-lgbti-students-europe-report-having-been-bullied-school</w:t>
        </w:r>
      </w:hyperlink>
      <w:r>
        <w:t xml:space="preserve"> - This UNESCO Global Education Monitoring Report article summarises findings from research by UNESCO and the International LGBTQI Youth and Student Organisation about LGBTI students’ experiences in education in Europe. The survey included more than 17,000 children and young people aged 13 to 24. It reports that 54 per cent had experienced bullying at school at least once because of sexual orientation, gender identity, gender expression or variations in sex characteristics. In addition, 83 per cent had at least sometimes heard negative comments directed towards LGBTQI students, while 67 per cent had been personally targeted by negative comments at least once. The article stresses that bullying and hostile school environments can affect learners’ wellbeing and participation. It also discusses the treatment of LGBTI identities in curricula and the limited availability of positive representation in learning materials. UNESCO calls for schools and governments to create safe, inclusive learning environments and to monitor bullying and violence. The findings are survey results, not a census of all European students, and the measures concern distinct experiences: hearing comments, being targeted and experiencing bullying. Those details help interpret the percentages accurately. This source directly supports the article’s reported figures and provides the educational context behind them.</w:t>
      </w:r>
      <w:r/>
    </w:p>
    <w:p>
      <w:pPr>
        <w:pStyle w:val="ListNumber"/>
        <w:spacing w:line="240" w:lineRule="auto"/>
        <w:ind w:left="720"/>
      </w:pPr>
      <w:r/>
      <w:hyperlink r:id="rId14">
        <w:r>
          <w:rPr>
            <w:color w:val="0000EE"/>
            <w:u w:val="single"/>
          </w:rPr>
          <w:t>https://www.investing.com/news/world-news/african-lawmakers-back-push-for-tougher-antilgbt-laws-after-ghana-conference-4751411</w:t>
        </w:r>
      </w:hyperlink>
      <w:r>
        <w:t xml:space="preserve"> - This Reuters report describes an African inter-parliamentary conference on family values and sovereignty held in Accra, Ghana, from 3 to 6 June 2026. Reuters reports that lawmakers from more than a dozen African countries pledged to pursue bills restricting LGBT rights. The gathering brought together lawmakers and self-described pro-family activists from Africa and Europe, shortly after Ghana’s parliament passed a measure criminalising the promotion of LGBT activities. The article says representatives from 20 countries attended and that lawmakers from 18 of those countries approved a family-values charter. It places the conference within a broader political movement promoting more restrictive laws and notes participants’ stated intention to advance legislation in their own countries. Reuters also reports concerns about the effects of anti-LGBT laws on public health, including the risk that LGBT people may avoid services or go into hiding. The story therefore supports the article’s claims about the Ghana conference, the number of represented countries and pledges to introduce new bills. It is a report on political commitments made at the event; pledges do not establish that bills were subsequently introduced or enacted. Its dates and description of the conference help distinguish the event from earlier conferences on similar themes.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database.ilga.org/criminalisation-consensual-same-sex-sexual-acts" TargetMode="External"/><Relationship Id="rId10" Type="http://schemas.openxmlformats.org/officeDocument/2006/relationships/hyperlink" Target="https://www.humandignitytrust.org/lgbt-the-law/map-of-criminalisation/?type_filter=crim_gender_exp&amp;type_filter_submitted=" TargetMode="External"/><Relationship Id="rId11" Type="http://schemas.openxmlformats.org/officeDocument/2006/relationships/hyperlink" Target="https://ilga.org/ilga-world-maps/" TargetMode="External"/><Relationship Id="rId12" Type="http://schemas.openxmlformats.org/officeDocument/2006/relationships/hyperlink" Target="https://www.unaids.org/sites/default/files/media_asset/2024-unaids-global-aids-update-gay-men_en.pdf" TargetMode="External"/><Relationship Id="rId13" Type="http://schemas.openxmlformats.org/officeDocument/2006/relationships/hyperlink" Target="https://www.unesco.org/gem-report/en/articles/dont-look-away-over-half-lgbti-students-europe-report-having-been-bullied-school" TargetMode="External"/><Relationship Id="rId14" Type="http://schemas.openxmlformats.org/officeDocument/2006/relationships/hyperlink" Target="https://www.investing.com/news/world-news/african-lawmakers-back-push-for-tougher-antilgbt-laws-after-ghana-conference-4751411" TargetMode="External"/><Relationship Id="rId15" Type="http://schemas.openxmlformats.org/officeDocument/2006/relationships/hyperlink" Target="https://in-sightpublishing.com/2026/11/05/global-criminalization-and-rising-legal-attacks-on-lgbtqi-right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