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Draft Conversion Practices Bill Raises Workplace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proposed UK law targeting abusive conversion practices has sparked concern among employers and campaigners over how it might apply to workplace disputes about transgender colleagues’ pronouns. The government says ordinary disagreements aren’t the target, but questions about senior managers’ responsibilities, potential criminal liability and what counts as “all reasonable steps” are drawing attention.</w:t>
      </w:r>
      <w:r/>
    </w:p>
    <w:p>
      <w:pPr>
        <w:pStyle w:val="Heading2"/>
      </w:pPr>
      <w:r>
        <w:t>Essential Takeaways</w:t>
      </w:r>
      <w:r/>
      <w:r/>
    </w:p>
    <w:p>
      <w:pPr>
        <w:pStyle w:val="ListBullet"/>
        <w:spacing w:line="240" w:lineRule="auto"/>
        <w:ind w:left="720"/>
      </w:pPr>
      <w:r/>
      <w:r>
        <w:rPr>
          <w:b/>
        </w:rPr>
        <w:t>The proposal targets abuse:</w:t>
      </w:r>
      <w:r>
        <w:t xml:space="preserve"> A criminal offence would require conduct intended to change or influence someone’s sexual orientation or transgender identity, alongside specified serious harm or distress.</w:t>
      </w:r>
      <w:r/>
    </w:p>
    <w:p>
      <w:pPr>
        <w:pStyle w:val="ListBullet"/>
        <w:spacing w:line="240" w:lineRule="auto"/>
        <w:ind w:left="720"/>
      </w:pPr>
      <w:r/>
      <w:r>
        <w:rPr>
          <w:b/>
        </w:rPr>
        <w:t>Senior officers could be liable:</w:t>
      </w:r>
      <w:r>
        <w:t xml:space="preserve"> The draft includes circumstances in which directors and other senior officers may face personal criminal liability connected to an offence by their organisation.</w:t>
      </w:r>
      <w:r/>
    </w:p>
    <w:p>
      <w:pPr>
        <w:pStyle w:val="ListBullet"/>
        <w:spacing w:line="240" w:lineRule="auto"/>
        <w:ind w:left="720"/>
      </w:pPr>
      <w:r/>
      <w:r>
        <w:rPr>
          <w:b/>
        </w:rPr>
        <w:t>Pronoun use isn’t named as an offence:</w:t>
      </w:r>
      <w:r>
        <w:t xml:space="preserve"> Whether particular conduct meets the legal test would depend on its intent, character and effects.</w:t>
      </w:r>
      <w:r/>
    </w:p>
    <w:p>
      <w:pPr>
        <w:pStyle w:val="ListBullet"/>
        <w:spacing w:line="240" w:lineRule="auto"/>
        <w:ind w:left="720"/>
      </w:pPr>
      <w:r/>
      <w:r>
        <w:rPr>
          <w:b/>
        </w:rPr>
        <w:t>The government disputes wider claims:</w:t>
      </w:r>
      <w:r>
        <w:t xml:space="preserve"> It says the bill is aimed at abusive conversion practices, not ordinary disagreements or expression of belief.</w:t>
      </w:r>
      <w:r/>
    </w:p>
    <w:p>
      <w:pPr>
        <w:pStyle w:val="ListBullet"/>
        <w:spacing w:line="240" w:lineRule="auto"/>
        <w:ind w:left="720"/>
      </w:pPr>
      <w:r/>
      <w:r>
        <w:rPr>
          <w:b/>
        </w:rPr>
        <w:t>Compliance costs are estimated:</w:t>
      </w:r>
      <w:r>
        <w:t xml:space="preserve"> The impact assessment puts the cost to business at £13.6 million over 10 years, with additional estimates for some sectors.</w:t>
      </w:r>
      <w:r/>
      <w:r/>
    </w:p>
    <w:p>
      <w:pPr>
        <w:pStyle w:val="Heading2"/>
      </w:pPr>
      <w:r>
        <w:t>Why the draft bill has put employers on alert</w:t>
      </w:r>
      <w:r/>
    </w:p>
    <w:p>
      <w:r/>
      <w:r>
        <w:t xml:space="preserve">The proposed Conversion Practices Bill has prompted a sharp question for UK employers: how should they manage disputes over gender identity without either overlooking abuse or treating every disagreement as a legal crisis? The debate has focused on workplace pronouns, but the draft’s stated purpose is to prohibit abusive attempts to change or suppress someone’s sexual orientation or transgender identity. </w:t>
      </w:r>
      <w:hyperlink r:id="rId9">
        <w:r>
          <w:rPr>
            <w:color w:val="0000EE"/>
            <w:u w:val="single"/>
          </w:rPr>
          <w:t>[3]</w:t>
        </w:r>
      </w:hyperlink>
      <w:r>
        <w:t xml:space="preserve">, </w:t>
      </w:r>
      <w:hyperlink r:id="rId10">
        <w:r>
          <w:rPr>
            <w:color w:val="0000EE"/>
            <w:u w:val="single"/>
          </w:rPr>
          <w:t>[5]</w:t>
        </w:r>
      </w:hyperlink>
      <w:r/>
    </w:p>
    <w:p>
      <w:r/>
      <w:r>
        <w:t xml:space="preserve">Under the draft, the main offence would require more than conduct that influences someone’s identity. It would also need to be abusive and cause serious physical or mental harm, or serious alarm or distress that substantially affects the person’s usual day-to-day activities. That threshold matters: incorrect pronoun use is not specifically listed as a criminal offence. </w:t>
      </w:r>
      <w:hyperlink r:id="rId9">
        <w:r>
          <w:rPr>
            <w:color w:val="0000EE"/>
            <w:u w:val="single"/>
          </w:rPr>
          <w:t>[3]</w:t>
        </w:r>
      </w:hyperlink>
      <w:r>
        <w:t xml:space="preserve">, </w:t>
      </w:r>
      <w:hyperlink r:id="rId10">
        <w:r>
          <w:rPr>
            <w:color w:val="0000EE"/>
            <w:u w:val="single"/>
          </w:rPr>
          <w:t>[5]</w:t>
        </w:r>
      </w:hyperlink>
      <w:r/>
    </w:p>
    <w:p>
      <w:pPr>
        <w:pStyle w:val="Heading2"/>
      </w:pPr>
      <w:r>
        <w:t>What could personal liability mean for company directors?</w:t>
      </w:r>
      <w:r/>
    </w:p>
    <w:p>
      <w:r/>
      <w:r>
        <w:t xml:space="preserve">The draft allows criminal liability to extend to certain senior officers, including directors, managers and company secretaries, where the relevant legal conditions are met. A central point of concern is the expectation that they take “all reasonable steps” to prevent an offence by their organisation. </w:t>
      </w:r>
      <w:hyperlink r:id="rId9">
        <w:r>
          <w:rPr>
            <w:color w:val="0000EE"/>
            <w:u w:val="single"/>
          </w:rPr>
          <w:t>[3]</w:t>
        </w:r>
      </w:hyperlink>
      <w:r>
        <w:t xml:space="preserve">, </w:t>
      </w:r>
      <w:hyperlink r:id="rId10">
        <w:r>
          <w:rPr>
            <w:color w:val="0000EE"/>
            <w:u w:val="single"/>
          </w:rPr>
          <w:t>[5]</w:t>
        </w:r>
      </w:hyperlink>
      <w:r/>
    </w:p>
    <w:p>
      <w:r/>
      <w:r>
        <w:t xml:space="preserve">Critics say that wording could leave managers unsure what precautions are expected and how they should show they took them. Baroness Falkner, former chair of the Equality and Human Rights Commission, has questioned how the requirement would work in practice, particularly if the draft doesn’t spell out what those steps might involve. </w:t>
      </w:r>
      <w:hyperlink r:id="rId10">
        <w:r>
          <w:rPr>
            <w:color w:val="0000EE"/>
            <w:u w:val="single"/>
          </w:rPr>
          <w:t>[5]</w:t>
        </w:r>
      </w:hyperlink>
      <w:r>
        <w:t xml:space="preserve">, </w:t>
      </w:r>
      <w:hyperlink r:id="rId11">
        <w:r>
          <w:rPr>
            <w:color w:val="0000EE"/>
            <w:u w:val="single"/>
          </w:rPr>
          <w:t>[6]</w:t>
        </w:r>
      </w:hyperlink>
      <w:r/>
    </w:p>
    <w:p>
      <w:r/>
      <w:r>
        <w:t xml:space="preserve">Still, personal liability isn’t presented in the draft as a free-standing offence covering any workplace disagreement. It is linked to an offence committed by the organisation, so the details of the alleged conduct and the legal test would be crucial. </w:t>
      </w:r>
      <w:hyperlink r:id="rId9">
        <w:r>
          <w:rPr>
            <w:color w:val="0000EE"/>
            <w:u w:val="single"/>
          </w:rPr>
          <w:t>[3]</w:t>
        </w:r>
      </w:hyperlink>
      <w:r>
        <w:t xml:space="preserve">, </w:t>
      </w:r>
      <w:hyperlink r:id="rId10">
        <w:r>
          <w:rPr>
            <w:color w:val="0000EE"/>
            <w:u w:val="single"/>
          </w:rPr>
          <w:t>[5]</w:t>
        </w:r>
      </w:hyperlink>
      <w:r/>
    </w:p>
    <w:p>
      <w:pPr>
        <w:pStyle w:val="Heading2"/>
      </w:pPr>
      <w:r>
        <w:t>Pronoun disputes are part of a wider workplace balancing act</w:t>
      </w:r>
      <w:r/>
    </w:p>
    <w:p>
      <w:r/>
      <w:r>
        <w:t xml:space="preserve">The controversy reaches beyond pronouns. Employers already need to navigate policies and obligations involving staff dignity, belief, facilities and safeguarding, and campaign groups have raised concerns about how the bill might interact with those areas. Those arguments reflect competing interpretations of what the proposal could mean, rather than a settled legal ruling. </w:t>
      </w:r>
      <w:hyperlink r:id="rId11">
        <w:r>
          <w:rPr>
            <w:color w:val="0000EE"/>
            <w:u w:val="single"/>
          </w:rPr>
          <w:t>[6]</w:t>
        </w:r>
      </w:hyperlink>
      <w:r>
        <w:t xml:space="preserve">, </w:t>
      </w:r>
      <w:hyperlink r:id="rId12">
        <w:r>
          <w:rPr>
            <w:color w:val="0000EE"/>
            <w:u w:val="single"/>
          </w:rPr>
          <w:t>[7]</w:t>
        </w:r>
      </w:hyperlink>
      <w:r/>
    </w:p>
    <w:p>
      <w:r/>
      <w:r>
        <w:t xml:space="preserve">For employers, the practical challenge is to avoid treating a complex dispute as if one rule automatically resolves every case. The proposed offence depends on intent, abusive conduct and serious harm or distress, so context would matter. A workplace policy should be clear, consistently applied and reviewed with suitable legal advice where an issue is contentious. </w:t>
      </w:r>
      <w:hyperlink r:id="rId9">
        <w:r>
          <w:rPr>
            <w:color w:val="0000EE"/>
            <w:u w:val="single"/>
          </w:rPr>
          <w:t>[3]</w:t>
        </w:r>
      </w:hyperlink>
      <w:r>
        <w:t xml:space="preserve">, </w:t>
      </w:r>
      <w:hyperlink r:id="rId10">
        <w:r>
          <w:rPr>
            <w:color w:val="0000EE"/>
            <w:u w:val="single"/>
          </w:rPr>
          <w:t>[5]</w:t>
        </w:r>
      </w:hyperlink>
      <w:r/>
    </w:p>
    <w:p>
      <w:pPr>
        <w:pStyle w:val="Heading2"/>
      </w:pPr>
      <w:r>
        <w:t>The cost estimates and the government’s response</w:t>
      </w:r>
      <w:r/>
    </w:p>
    <w:p>
      <w:r/>
      <w:r>
        <w:t xml:space="preserve">The government’s impact assessment estimates a £13.6 million cost to businesses over 10 years. It also sets out one-off familiarisation estimates for private education and private healthcare, while critics argue that training, policy reviews and legal advice could add to the burden. Those are competing assessments of likely costs, not a guarantee of what an individual employer will spend. </w:t>
      </w:r>
      <w:hyperlink r:id="rId13">
        <w:r>
          <w:rPr>
            <w:color w:val="0000EE"/>
            <w:u w:val="single"/>
          </w:rPr>
          <w:t>[4]</w:t>
        </w:r>
      </w:hyperlink>
      <w:r>
        <w:t xml:space="preserve">, </w:t>
      </w:r>
      <w:hyperlink r:id="rId11">
        <w:r>
          <w:rPr>
            <w:color w:val="0000EE"/>
            <w:u w:val="single"/>
          </w:rPr>
          <w:t>[6]</w:t>
        </w:r>
      </w:hyperlink>
      <w:r/>
    </w:p>
    <w:p>
      <w:r/>
      <w:r>
        <w:t xml:space="preserve">The government says the bill is intended to stop abusive conversion practices, not criminalise ordinary disagreements or expressions of belief. It also argues that senior-officer liability would apply only in connection with an offence by the organisation. For employers, the key distinction to watch is therefore between the bill’s stated legal threshold and concerns about how its wording might be interpreted. </w:t>
      </w:r>
      <w:hyperlink r:id="rId9">
        <w:r>
          <w:rPr>
            <w:color w:val="0000EE"/>
            <w:u w:val="single"/>
          </w:rPr>
          <w:t>[3]</w:t>
        </w:r>
      </w:hyperlink>
      <w:r>
        <w:t xml:space="preserve">, </w:t>
      </w:r>
      <w:hyperlink r:id="rId13">
        <w:r>
          <w:rPr>
            <w:color w:val="0000EE"/>
            <w:u w:val="single"/>
          </w:rPr>
          <w:t>[4]</w:t>
        </w:r>
      </w:hyperlink>
      <w:r>
        <w:t xml:space="preserve">, </w:t>
      </w:r>
      <w:hyperlink r:id="rId10">
        <w:r>
          <w:rPr>
            <w:color w:val="0000EE"/>
            <w:u w:val="single"/>
          </w:rPr>
          <w:t>[5]</w:t>
        </w:r>
      </w:hyperlink>
      <w:r/>
    </w:p>
    <w:p>
      <w:pPr>
        <w:pStyle w:val="Heading2"/>
      </w:pPr>
      <w:r>
        <w:t>What employers can do while the proposal is debated</w:t>
      </w:r>
      <w:r/>
    </w:p>
    <w:p>
      <w:r/>
      <w:r>
        <w:t xml:space="preserve">For now, employers can make sure staff know how to raise concerns and that managers understand how to respond fairly and consistently. It’s also sensible to review relevant policies and seek specialist advice on difficult cases, rather than rely on headlines or assume that every pronoun dispute would meet the criminal test. </w:t>
      </w:r>
      <w:hyperlink r:id="rId9">
        <w:r>
          <w:rPr>
            <w:color w:val="0000EE"/>
            <w:u w:val="single"/>
          </w:rPr>
          <w:t>[3]</w:t>
        </w:r>
      </w:hyperlink>
      <w:r>
        <w:t xml:space="preserve">, </w:t>
      </w:r>
      <w:hyperlink r:id="rId10">
        <w:r>
          <w:rPr>
            <w:color w:val="0000EE"/>
            <w:u w:val="single"/>
          </w:rPr>
          <w:t>[5]</w:t>
        </w:r>
      </w:hyperlink>
      <w:r/>
    </w:p>
    <w:p>
      <w:r/>
      <w:r>
        <w:t xml:space="preserve">The draft and its impact assessment provide the clearest starting point for understanding what is proposed. Until the legislation’s scope is settled, careful communication and well-documented decision-making may help organisations handle sensitive workplace issues without jumping to conclusions. </w:t>
      </w:r>
      <w:hyperlink r:id="rId9">
        <w:r>
          <w:rPr>
            <w:color w:val="0000EE"/>
            <w:u w:val="single"/>
          </w:rPr>
          <w:t>[3]</w:t>
        </w:r>
      </w:hyperlink>
      <w:r>
        <w:t xml:space="preserve">, </w:t>
      </w:r>
      <w:hyperlink r:id="rId13">
        <w:r>
          <w:rPr>
            <w:color w:val="0000EE"/>
            <w:u w:val="single"/>
          </w:rPr>
          <w:t>[4]</w:t>
        </w:r>
      </w:hyperlink>
      <w:r/>
    </w:p>
    <w:p>
      <w:r/>
      <w:r>
        <w:t>A careful read of the draft is a better guide than the most alarming headline.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Paragraph 2: </w:t>
      </w:r>
      <w:hyperlink r:id="rId9">
        <w:r>
          <w:rPr>
            <w:color w:val="0000EE"/>
            <w:u w:val="single"/>
          </w:rPr>
          <w:t>[3]</w:t>
        </w:r>
      </w:hyperlink>
      <w:r>
        <w:t xml:space="preserve">, </w:t>
      </w:r>
      <w:hyperlink r:id="rId10">
        <w:r>
          <w:rPr>
            <w:color w:val="0000EE"/>
            <w:u w:val="single"/>
          </w:rPr>
          <w:t>[5]</w:t>
        </w:r>
      </w:hyperlink>
      <w:r>
        <w:t xml:space="preserve">- Paragraph 3: </w:t>
      </w:r>
      <w:hyperlink r:id="rId9">
        <w:r>
          <w:rPr>
            <w:color w:val="0000EE"/>
            <w:u w:val="single"/>
          </w:rPr>
          <w:t>[3]</w:t>
        </w:r>
      </w:hyperlink>
      <w:r>
        <w:t xml:space="preserve">, </w:t>
      </w:r>
      <w:hyperlink r:id="rId10">
        <w:r>
          <w:rPr>
            <w:color w:val="0000EE"/>
            <w:u w:val="single"/>
          </w:rPr>
          <w:t>[5]</w:t>
        </w:r>
      </w:hyperlink>
      <w:r>
        <w:t xml:space="preserve">- Paragraph 4: </w:t>
      </w:r>
      <w:hyperlink r:id="rId9">
        <w:r>
          <w:rPr>
            <w:color w:val="0000EE"/>
            <w:u w:val="single"/>
          </w:rPr>
          <w:t>[3]</w:t>
        </w:r>
      </w:hyperlink>
      <w:r>
        <w:t xml:space="preserve">, </w:t>
      </w:r>
      <w:hyperlink r:id="rId10">
        <w:r>
          <w:rPr>
            <w:color w:val="0000EE"/>
            <w:u w:val="single"/>
          </w:rPr>
          <w:t>[5]</w:t>
        </w:r>
      </w:hyperlink>
      <w:r>
        <w:t xml:space="preserve">- Paragraph 5: </w:t>
      </w:r>
      <w:hyperlink r:id="rId10">
        <w:r>
          <w:rPr>
            <w:color w:val="0000EE"/>
            <w:u w:val="single"/>
          </w:rPr>
          <w:t>[5]</w:t>
        </w:r>
      </w:hyperlink>
      <w:r>
        <w:t xml:space="preserve">, </w:t>
      </w:r>
      <w:hyperlink r:id="rId11">
        <w:r>
          <w:rPr>
            <w:color w:val="0000EE"/>
            <w:u w:val="single"/>
          </w:rPr>
          <w:t>[6]</w:t>
        </w:r>
      </w:hyperlink>
      <w:r>
        <w:t xml:space="preserve">- Paragraph 6: </w:t>
      </w:r>
      <w:hyperlink r:id="rId9">
        <w:r>
          <w:rPr>
            <w:color w:val="0000EE"/>
            <w:u w:val="single"/>
          </w:rPr>
          <w:t>[3]</w:t>
        </w:r>
      </w:hyperlink>
      <w:r>
        <w:t xml:space="preserve">, </w:t>
      </w:r>
      <w:hyperlink r:id="rId10">
        <w:r>
          <w:rPr>
            <w:color w:val="0000EE"/>
            <w:u w:val="single"/>
          </w:rPr>
          <w:t>[5]</w:t>
        </w:r>
      </w:hyperlink>
      <w:r>
        <w:t xml:space="preserve">- Paragraph 7: </w:t>
      </w:r>
      <w:hyperlink r:id="rId11">
        <w:r>
          <w:rPr>
            <w:color w:val="0000EE"/>
            <w:u w:val="single"/>
          </w:rPr>
          <w:t>[6]</w:t>
        </w:r>
      </w:hyperlink>
      <w:r>
        <w:t xml:space="preserve">, </w:t>
      </w:r>
      <w:hyperlink r:id="rId12">
        <w:r>
          <w:rPr>
            <w:color w:val="0000EE"/>
            <w:u w:val="single"/>
          </w:rPr>
          <w:t>[7]</w:t>
        </w:r>
      </w:hyperlink>
      <w:r>
        <w:t xml:space="preserve">- Paragraph 8: </w:t>
      </w:r>
      <w:hyperlink r:id="rId9">
        <w:r>
          <w:rPr>
            <w:color w:val="0000EE"/>
            <w:u w:val="single"/>
          </w:rPr>
          <w:t>[3]</w:t>
        </w:r>
      </w:hyperlink>
      <w:r>
        <w:t xml:space="preserve">, </w:t>
      </w:r>
      <w:hyperlink r:id="rId10">
        <w:r>
          <w:rPr>
            <w:color w:val="0000EE"/>
            <w:u w:val="single"/>
          </w:rPr>
          <w:t>[5]</w:t>
        </w:r>
      </w:hyperlink>
      <w:r>
        <w:t xml:space="preserve">- Paragraph 9: </w:t>
      </w:r>
      <w:hyperlink r:id="rId13">
        <w:r>
          <w:rPr>
            <w:color w:val="0000EE"/>
            <w:u w:val="single"/>
          </w:rPr>
          <w:t>[4]</w:t>
        </w:r>
      </w:hyperlink>
      <w:r>
        <w:t xml:space="preserve">, </w:t>
      </w:r>
      <w:hyperlink r:id="rId11">
        <w:r>
          <w:rPr>
            <w:color w:val="0000EE"/>
            <w:u w:val="single"/>
          </w:rPr>
          <w:t>[6]</w:t>
        </w:r>
      </w:hyperlink>
      <w:r>
        <w:t xml:space="preserve">- Paragraph 10: </w:t>
      </w:r>
      <w:hyperlink r:id="rId9">
        <w:r>
          <w:rPr>
            <w:color w:val="0000EE"/>
            <w:u w:val="single"/>
          </w:rPr>
          <w:t>[3]</w:t>
        </w:r>
      </w:hyperlink>
      <w:r>
        <w:t xml:space="preserve">, </w:t>
      </w:r>
      <w:hyperlink r:id="rId13">
        <w:r>
          <w:rPr>
            <w:color w:val="0000EE"/>
            <w:u w:val="single"/>
          </w:rPr>
          <w:t>[4]</w:t>
        </w:r>
      </w:hyperlink>
      <w:r>
        <w:t xml:space="preserve">, </w:t>
      </w:r>
      <w:hyperlink r:id="rId10">
        <w:r>
          <w:rPr>
            <w:color w:val="0000EE"/>
            <w:u w:val="single"/>
          </w:rPr>
          <w:t>[5]</w:t>
        </w:r>
      </w:hyperlink>
      <w:r>
        <w:t xml:space="preserve">- Paragraph 11: </w:t>
      </w:r>
      <w:hyperlink r:id="rId9">
        <w:r>
          <w:rPr>
            <w:color w:val="0000EE"/>
            <w:u w:val="single"/>
          </w:rPr>
          <w:t>[3]</w:t>
        </w:r>
      </w:hyperlink>
      <w:r>
        <w:t xml:space="preserve">, </w:t>
      </w:r>
      <w:hyperlink r:id="rId10">
        <w:r>
          <w:rPr>
            <w:color w:val="0000EE"/>
            <w:u w:val="single"/>
          </w:rPr>
          <w:t>[5]</w:t>
        </w:r>
      </w:hyperlink>
      <w:r>
        <w:t xml:space="preserve">- Paragraph 12: </w:t>
      </w:r>
      <w:hyperlink r:id="rId9">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https://hrreview.co.uk/hr-news/employment-law/bosses-could-face-jail-over-staff-pronoun-disputes/405431</w:t>
        </w:r>
      </w:hyperlink>
      <w:r>
        <w:t xml:space="preserve"> - Please view link - unable to able to access data</w:t>
      </w:r>
      <w:r/>
    </w:p>
    <w:p>
      <w:pPr>
        <w:pStyle w:val="ListNumber"/>
        <w:spacing w:line="240" w:lineRule="auto"/>
        <w:ind w:left="720"/>
      </w:pPr>
      <w:r/>
      <w:hyperlink r:id="rId14">
        <w:r>
          <w:rPr>
            <w:color w:val="0000EE"/>
            <w:u w:val="single"/>
          </w:rPr>
          <w:t>https://hrreview.co.uk/hr-news/employment-law/bosses-could-face-jail-over-staff-pronoun-disputes/405431</w:t>
        </w:r>
      </w:hyperlink>
      <w:r>
        <w:t xml:space="preserve"> - HRreview reports concerns that the UK Government’s draft Conversion Practices Bill could expose company directors and other senior officers to personal criminal liability in some circumstances. The article explains that critics fear the bill’s “all reasonable steps” requirement may leave employers uncertain about what action they must take to prevent an offence. Campaigners cited in the report argue that repeated refusal to use a transgender colleague’s preferred pronouns might prompt complaints, although the Government says the measure is aimed at abusive conversion practices, not ordinary disagreement or the expression of belief. The article also discusses concerns about workplace policies on single-sex facilities and competing employee rights. It recounts warnings from former Equality and Human Rights Commission chair Baroness Falkner about the breadth and uncertainty of the proposed duty, and reports campaigners’ predictions of costs for legal advice, training and compliance. The Government’s impact assessment, as described in the article, estimates business costs over ten years and identifies additional familiarisation costs in private education and healthcare. The article sets out the Government’s response: the offence requires conduct intended to influence sexual orientation or transgender identity, which is abusive and causes serious harm or distress meeting the bill’s threshold. It emphasises that incorrect pronoun use is not specified as an offence and that any case would depend on its facts.</w:t>
      </w:r>
      <w:r/>
    </w:p>
    <w:p>
      <w:pPr>
        <w:pStyle w:val="ListNumber"/>
        <w:spacing w:line="240" w:lineRule="auto"/>
        <w:ind w:left="720"/>
      </w:pPr>
      <w:r/>
      <w:hyperlink r:id="rId9">
        <w:r>
          <w:rPr>
            <w:color w:val="0000EE"/>
            <w:u w:val="single"/>
          </w:rPr>
          <w:t>https://www.gov.uk/government/publications/draft-conversion-practices-bill</w:t>
        </w:r>
      </w:hyperlink>
      <w:r>
        <w:t xml:space="preserve"> - This official GOV.UK publication provides the draft Conversion Practices Bill and related explanatory and impact-assessment documents. The Government describes a conversion practice as conduct intended to change a person’s sexual orientation or transgender identity. The draft proposes criminal offences concerning abusive conversion practices, including an offence relating to encouraging or assisting practices against a UK national or resident abroad, and provides for civil protection orders intended to prevent such practices. The page says the draft bill applies to England and Wales and has been shared with Parliament for pre-legislative scrutiny, meaning it is a proposal under examination rather than an enacted law. It gives access to the bill in accessible and large-print formats, explanatory notes, an equality impact assessment and the draft final-stage impact assessment. The publication history records its initial publication on 25 June 2026 and subsequent additions and updates, most recently on 1 September 2026. This source is useful for checking the bill’s official scope and its status, as distinct from campaigners’ or commentators’ interpretations of what its provisions might mean in particular workplace disputes. It confirms the Government’s stated aim is to prohibit criminal conversion practices and provides the primary legal text against which claims about corporate liability, offences and protections should be assessed.</w:t>
      </w:r>
      <w:r/>
    </w:p>
    <w:p>
      <w:pPr>
        <w:pStyle w:val="ListNumber"/>
        <w:spacing w:line="240" w:lineRule="auto"/>
        <w:ind w:left="720"/>
      </w:pPr>
      <w:r/>
      <w:hyperlink r:id="rId13">
        <w:r>
          <w:rPr>
            <w:color w:val="0000EE"/>
            <w:u w:val="single"/>
          </w:rPr>
          <w:t>https://www.gov.uk/government/publications/draft-conversion-practices-bill/draft-final-stage-impact-assessment</w:t>
        </w:r>
      </w:hyperlink>
      <w:r>
        <w:t xml:space="preserve"> - The Government’s draft final-stage impact assessment evaluates the proposed Conversion Practices Bill, including its objectives, evidence base, expected effects and costs. It states that the proposal would criminalise abusive conversion practices, introduce prevention orders and create an offence concerning taking someone overseas for conversion practices. The assessment explains that the draft focuses on acts intended to change a person’s sexual orientation or transgender identity, and presents the Government’s case that such practices can cause significant harm. It also acknowledges limitations in the available evidence: reported prevalence estimates vary considerably, definitions differ between studies, and much of the data relies on surveys, including self-selected samples. The document summarises reported estimates and discusses uncertainty in predicting how many people or organisations would be affected. It says costs and benefits remain provisional while the bill undergoes pre-legislative scrutiny, and that estimates may be revised as the proposal and evidence develop. The assessment is particularly relevant to the article’s discussion of compliance costs, the intended scope of criminalisation and the Government’s position. It offers an official account of the policy rationale, while making clear that the impact analysis is not final and that some impacts, including wider justice-system effects, are still being assessed.</w:t>
      </w:r>
      <w:r/>
    </w:p>
    <w:p>
      <w:pPr>
        <w:pStyle w:val="ListNumber"/>
        <w:spacing w:line="240" w:lineRule="auto"/>
        <w:ind w:left="720"/>
      </w:pPr>
      <w:r/>
      <w:hyperlink r:id="rId10">
        <w:r>
          <w:rPr>
            <w:color w:val="0000EE"/>
            <w:u w:val="single"/>
          </w:rPr>
          <w:t>https://assets.publishing.service.gov.uk/media/6a3bde09eaee00074150f395/E03633248_CP_1604_Draft_Conversion_Practices_Bill_Accessible__1_.pdf</w:t>
        </w:r>
      </w:hyperlink>
      <w:r>
        <w:t xml:space="preserve"> - This is the full text of the Government’s June 2026 draft Conversion Practices Bill, presented to Parliament for scrutiny. Its contents include provisions defining conversion practices, creating an offence of performing an abusive conversion practice, creating an offence related to encouraging or assisting such conduct outside England and Wales, and establishing conversion practice protection orders. The draft also includes a section on offences by bodies corporate and unincorporated bodies, which is central to discussion of potential organisational and senior-officer liability. The document is a legislative proposal, not a law already in force. Reading the actual clauses is important when assessing claims about workplace conduct: the bill frames the main offence around an abusive conversion practice and contains definitions and conditions that must be considered alongside any scenario. The bill’s existence does not by itself establish that a particular disagreement about pronouns would qualify as an offence. Nor does the text make every dispute involving gender identity automatically criminal. The article’s warnings about how liability might operate are interpretations and concerns expressed by campaigners and legal commentators; this PDF is the primary source for checking the proposed wording. It is therefore the most direct document for understanding what Parliament was asked to examine, rather than relying solely on summaries or advocacy statements.</w:t>
      </w:r>
      <w:r/>
    </w:p>
    <w:p>
      <w:pPr>
        <w:pStyle w:val="ListNumber"/>
        <w:spacing w:line="240" w:lineRule="auto"/>
        <w:ind w:left="720"/>
      </w:pPr>
      <w:r/>
      <w:hyperlink r:id="rId11">
        <w:r>
          <w:rPr>
            <w:color w:val="0000EE"/>
            <w:u w:val="single"/>
          </w:rPr>
          <w:t>https://policyexchange.org.uk/publication/not-what-it-says-on-the-tin/</w:t>
        </w:r>
      </w:hyperlink>
      <w:r>
        <w:t xml:space="preserve"> - Policy Exchange describes its report, “Not What It Says On The Tin”, as a legal analysis of the Government’s 2026 draft Conversion Practices Bill. The report is authored by Baroness Kishwer Falkner, former chair of the Equality and Human Rights Commission, and barrister Akua Reindorf KC. According to the organisation’s summary, the authors identify serious problems with the draft and warn about potential consequences if it were enacted. Their concerns include the possibility that parents seeking to dissuade children from transitioning could be criminalised, that particular approaches to children questioning their gender could effectively be required, and that gender self-identification could be advanced indirectly. The report characterises the draft as legally and technically flawed and argues that its shortcomings may not be readily cured by amendment. This publication supports the article’s account of Falkner’s broader concerns about the bill’s scope and drafting, but it represents a critical legal assessment rather than the Government’s interpretation or an authoritative judicial ruling. It should therefore be read alongside the draft bill and the Government’s own explanatory and impact documents. The page also records that the report was published on 2 November 2026 and provides access to the full publication and an online reader.</w:t>
      </w:r>
      <w:r/>
    </w:p>
    <w:p>
      <w:pPr>
        <w:pStyle w:val="ListNumber"/>
        <w:spacing w:line="240" w:lineRule="auto"/>
        <w:ind w:left="720"/>
      </w:pPr>
      <w:r/>
      <w:hyperlink r:id="rId12">
        <w:r>
          <w:rPr>
            <w:color w:val="0000EE"/>
            <w:u w:val="single"/>
          </w:rPr>
          <w:t>https://sex-matters.org/posts/updates/pronouns/</w:t>
        </w:r>
      </w:hyperlink>
      <w:r>
        <w:t xml:space="preserve"> - Sex Matters’ “Pronouns at work” page sets out the organisation’s views on workplace pronoun policies and the legal questions it believes employers and employees should consider. It discusses requests to state pronouns, whether employees should use colleagues’ preferred pronouns, and how workplace rules may intersect with protected beliefs. The organisation argues that requiring staff to announce pronouns can disadvantage people who do not share the belief it associates with such practices. On using colleagues’ preferred pronouns, the page says circumstances matter and acknowledges that repeatedly addressing someone in terms they have asked not to be called may be treated as harassment. It also suggests alternatives such as using a person’s name or avoiding pronouns. The page distinguishes pronoun courtesy from decisions about access to changing, washing, toilet or sleeping accommodation. These views provide context for the workplace-rights debate described in the article, including employers’ concerns about balancing competing expectations. However, Sex Matters is an advocacy organisation, and this page is not legislation, government guidance or a court judgment. Its statements should be understood as the organisation’s position rather than as a definitive account of legal outcomes. The page links to the organisation’s longer briefing for employers and employees and summarises its recommendations on handling pronoun requests and workplace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uk/government/publications/draft-conversion-practices-bill" TargetMode="External"/><Relationship Id="rId10" Type="http://schemas.openxmlformats.org/officeDocument/2006/relationships/hyperlink" Target="https://assets.publishing.service.gov.uk/media/6a3bde09eaee00074150f395/E03633248_CP_1604_Draft_Conversion_Practices_Bill_Accessible__1_.pdf" TargetMode="External"/><Relationship Id="rId11" Type="http://schemas.openxmlformats.org/officeDocument/2006/relationships/hyperlink" Target="https://policyexchange.org.uk/publication/not-what-it-says-on-the-tin/" TargetMode="External"/><Relationship Id="rId12" Type="http://schemas.openxmlformats.org/officeDocument/2006/relationships/hyperlink" Target="https://sex-matters.org/posts/updates/pronouns/" TargetMode="External"/><Relationship Id="rId13" Type="http://schemas.openxmlformats.org/officeDocument/2006/relationships/hyperlink" Target="https://www.gov.uk/government/publications/draft-conversion-practices-bill/draft-final-stage-impact-assessment" TargetMode="External"/><Relationship Id="rId14" Type="http://schemas.openxmlformats.org/officeDocument/2006/relationships/hyperlink" Target="https://hrreview.co.uk/hr-news/employment-law/bosses-could-face-jail-over-staff-pronoun-disputes/4054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