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Córdoba's Anti-Discrimination Bill Aims to Tackle Hate Crimes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Across Córdoba, Argentina, LGBTQ+ people and other marginalised communities are raising the alarm about hate-motivated attacks and gaps in protection. The provincial anti-discrimination bill now under discussion could offer new ways to prevent abuse and pursue remedies, while fresh figures underline the scale of the challenge and why reporting, support and reliable data matter.</w:t>
      </w:r>
      <w:r/>
    </w:p>
    <w:p>
      <w:pPr>
        <w:pStyle w:val="Heading2"/>
      </w:pPr>
      <w:r>
        <w:t>Essential Takeaways</w:t>
      </w:r>
      <w:r/>
      <w:r/>
    </w:p>
    <w:p>
      <w:pPr>
        <w:pStyle w:val="ListBullet"/>
        <w:spacing w:line="240" w:lineRule="auto"/>
        <w:ind w:left="720"/>
      </w:pPr>
      <w:r/>
      <w:r>
        <w:rPr>
          <w:b/>
        </w:rPr>
        <w:t>A sharp rise in reported cases:</w:t>
      </w:r>
      <w:r>
        <w:t xml:space="preserve"> Argentina recorded 227 anti-LGBTQ+ hate crimes in 2025, up from 140 in 2024, according to the national observatory's annual report.</w:t>
      </w:r>
      <w:r/>
    </w:p>
    <w:p>
      <w:pPr>
        <w:pStyle w:val="ListBullet"/>
        <w:spacing w:line="240" w:lineRule="auto"/>
        <w:ind w:left="720"/>
      </w:pPr>
      <w:r/>
      <w:r>
        <w:rPr>
          <w:b/>
        </w:rPr>
        <w:t>The figures are a minimum:</w:t>
      </w:r>
      <w:r>
        <w:t xml:space="preserve"> The observatory's count covers cases that reach official bodies, the courts or the media, so incidents that go unreported may be missing.</w:t>
      </w:r>
      <w:r/>
    </w:p>
    <w:p>
      <w:pPr>
        <w:pStyle w:val="ListBullet"/>
        <w:spacing w:line="240" w:lineRule="auto"/>
        <w:ind w:left="720"/>
      </w:pPr>
      <w:r/>
      <w:r>
        <w:rPr>
          <w:b/>
        </w:rPr>
        <w:t>A provincial bill is advancing:</w:t>
      </w:r>
      <w:r>
        <w:t xml:space="preserve"> Córdoba's proposed anti-discrimination law is intended to promote equality and respect for diversity, with measures to address discriminatory conduct.</w:t>
      </w:r>
      <w:r/>
    </w:p>
    <w:p>
      <w:pPr>
        <w:pStyle w:val="ListBullet"/>
        <w:spacing w:line="240" w:lineRule="auto"/>
        <w:ind w:left="720"/>
      </w:pPr>
      <w:r/>
      <w:r>
        <w:rPr>
          <w:b/>
        </w:rPr>
        <w:t>Protection is broader than one community:</w:t>
      </w:r>
      <w:r>
        <w:t xml:space="preserve"> The proposal was developed with input from different groups facing discrimination, not only LGBTQ+ organisations.</w:t>
      </w:r>
      <w:r/>
      <w:r/>
    </w:p>
    <w:p>
      <w:pPr>
        <w:pStyle w:val="Heading2"/>
      </w:pPr>
      <w:r>
        <w:t>Córdoba's hate-crime figures point to a wider problem</w:t>
      </w:r>
      <w:r/>
    </w:p>
    <w:p>
      <w:r/>
      <w:r>
        <w:t xml:space="preserve">A rise of 62 per cent in recorded anti-LGBTQ+ hate crimes gives the debate in Córdoba a sobering backdrop. Argentina's National Observatory of LGBT+ Hate Crimes counted 227 cases in 2025, compared with 140 the year before, the highest total since its series began in 2016. These are not abstract statistics: they represent people subjected to violence, and the tally includes only cases that came to official attention. </w:t>
      </w:r>
      <w:hyperlink r:id="rId9">
        <w:r>
          <w:rPr>
            <w:color w:val="0000EE"/>
            <w:u w:val="single"/>
          </w:rPr>
          <w:t>[5]</w:t>
        </w:r>
      </w:hyperlink>
      <w:r/>
    </w:p>
    <w:p>
      <w:r/>
      <w:r>
        <w:t xml:space="preserve">That distinction matters. The observatory's report notes that its figures are a minimum, drawing on cases reported to authorities, taken through legal channels or covered by the media. Attacks that go unreported, perhaps because victims fear further mistreatment or don't expect a response, can remain out of sight. </w:t>
      </w:r>
      <w:hyperlink r:id="rId10">
        <w:r>
          <w:rPr>
            <w:color w:val="0000EE"/>
            <w:u w:val="single"/>
          </w:rPr>
          <w:t>[4]</w:t>
        </w:r>
      </w:hyperlink>
      <w:r/>
    </w:p>
    <w:p>
      <w:pPr>
        <w:pStyle w:val="Heading2"/>
      </w:pPr>
      <w:r>
        <w:t>Why a provincial law is being proposed</w:t>
      </w:r>
      <w:r/>
    </w:p>
    <w:p>
      <w:r/>
      <w:r>
        <w:t xml:space="preserve">Córdoba's proposed anti-discrimination law is intended to strengthen equality and respect for diversity at provincial level. The provincial legislature has described the initiative as a step towards addressing discriminatory behaviour and advancing equal treatment. </w:t>
      </w:r>
      <w:hyperlink r:id="rId11">
        <w:r>
          <w:rPr>
            <w:color w:val="0000EE"/>
            <w:u w:val="single"/>
          </w:rPr>
          <w:t>[3]</w:t>
        </w:r>
      </w:hyperlink>
      <w:r/>
    </w:p>
    <w:p>
      <w:r/>
      <w:r>
        <w:t xml:space="preserve">The proposal has taken on added significance after the closure of Argentina's National Institute Against Discrimination, Xenophobia and Racism, known as INADI. National measures once assigned to the institute have since been redistributed through government structures, but provincial campaigners say local tools are still needed to respond to discrimination and support those affected. </w:t>
      </w:r>
      <w:hyperlink r:id="rId12">
        <w:r>
          <w:rPr>
            <w:color w:val="0000EE"/>
            <w:u w:val="single"/>
          </w:rPr>
          <w:t>[7]</w:t>
        </w:r>
      </w:hyperlink>
      <w:r>
        <w:t xml:space="preserve"> </w:t>
      </w:r>
      <w:hyperlink r:id="rId13">
        <w:r>
          <w:rPr>
            <w:color w:val="0000EE"/>
            <w:u w:val="single"/>
          </w:rPr>
          <w:t>[8]</w:t>
        </w:r>
      </w:hyperlink>
      <w:r/>
    </w:p>
    <w:p>
      <w:pPr>
        <w:pStyle w:val="Heading2"/>
      </w:pPr>
      <w:r>
        <w:t>Reporting attacks can be difficult</w:t>
      </w:r>
      <w:r/>
    </w:p>
    <w:p>
      <w:r/>
      <w:r>
        <w:t xml:space="preserve">In an interview with Perfil, Córdoba diversity campaigner Nadiha Molina said attacks on trans people and sex workers can be under-reported, particularly when people feel exposed to violence or doubt that a complaint will lead to action. She also warned that delays in the justice system can leave people at risk while they wait for a response. </w:t>
      </w:r>
      <w:hyperlink r:id="rId14">
        <w:r>
          <w:rPr>
            <w:color w:val="0000EE"/>
            <w:u w:val="single"/>
          </w:rPr>
          <w:t>[2]</w:t>
        </w:r>
      </w:hyperlink>
      <w:r/>
    </w:p>
    <w:p>
      <w:r/>
      <w:r>
        <w:t xml:space="preserve">That helps explain why official counts should be read carefully. They can show the scale of documented cases, but they don't capture every experience, and a lack of reports shouldn't be mistaken for a lack of harm. The observatory's methodology explicitly cautions that its tally is limited to cases reaching public or institutional attention. </w:t>
      </w:r>
      <w:hyperlink r:id="rId10">
        <w:r>
          <w:rPr>
            <w:color w:val="0000EE"/>
            <w:u w:val="single"/>
          </w:rPr>
          <w:t>[4]</w:t>
        </w:r>
      </w:hyperlink>
      <w:r/>
    </w:p>
    <w:p>
      <w:pPr>
        <w:pStyle w:val="Heading2"/>
      </w:pPr>
      <w:r>
        <w:t>What the bill could change</w:t>
      </w:r>
      <w:r/>
    </w:p>
    <w:p>
      <w:r/>
      <w:r>
        <w:t xml:space="preserve">The proposed law aims to create provincial mechanisms to prevent and address discrimination, according to the Córdoba legislature. The idea is to give institutions and communities a clearer framework for promoting equal treatment, rather than leaving each incident to be handled in isolation. </w:t>
      </w:r>
      <w:hyperlink r:id="rId11">
        <w:r>
          <w:rPr>
            <w:color w:val="0000EE"/>
            <w:u w:val="single"/>
          </w:rPr>
          <w:t>[3]</w:t>
        </w:r>
      </w:hyperlink>
      <w:r/>
    </w:p>
    <w:p>
      <w:r/>
      <w:r>
        <w:t xml:space="preserve">Molina told Perfil that the initiative was shaped through a consultative process involving several groups facing discrimination, including Indigenous and Jewish communities. That wider scope is important: a law against discrimination needs to recognise how prejudice affects different people, rather than treating one community's experience as the whole picture. </w:t>
      </w:r>
      <w:hyperlink r:id="rId14">
        <w:r>
          <w:rPr>
            <w:color w:val="0000EE"/>
            <w:u w:val="single"/>
          </w:rPr>
          <w:t>[2]</w:t>
        </w:r>
      </w:hyperlink>
      <w:r/>
    </w:p>
    <w:p>
      <w:pPr>
        <w:pStyle w:val="Heading2"/>
      </w:pPr>
      <w:r>
        <w:t>What readers can take from the figures</w:t>
      </w:r>
      <w:r/>
    </w:p>
    <w:p>
      <w:r/>
      <w:r>
        <w:t xml:space="preserve">The most practical lesson is to look beyond a headline total. The observatory's numbers track cases that reach particular channels, while the EFE report on violence against Argentina's LGBTQ+ community in 2024 also describes the broader climate of concern around discrimination and attacks. Neither source can record every incident, but together they show why consistent monitoring matters. </w:t>
      </w:r>
      <w:hyperlink r:id="rId10">
        <w:r>
          <w:rPr>
            <w:color w:val="0000EE"/>
            <w:u w:val="single"/>
          </w:rPr>
          <w:t>[4]</w:t>
        </w:r>
      </w:hyperlink>
      <w:r>
        <w:t xml:space="preserve"> </w:t>
      </w:r>
      <w:hyperlink r:id="rId15">
        <w:r>
          <w:rPr>
            <w:color w:val="0000EE"/>
            <w:u w:val="single"/>
          </w:rPr>
          <w:t>[6]</w:t>
        </w:r>
      </w:hyperlink>
      <w:r/>
    </w:p>
    <w:p>
      <w:r/>
      <w:r>
        <w:t xml:space="preserve">For Córdoba, the proposed bill is one part of a larger response. Clear procedures, timely action and accessible routes to support will matter just as much as the law's wording; for anyone facing discrimination, knowing which local organisations or public services can help is a useful first step. </w:t>
      </w:r>
      <w:hyperlink r:id="rId14">
        <w:r>
          <w:rPr>
            <w:color w:val="0000EE"/>
            <w:u w:val="single"/>
          </w:rPr>
          <w:t>[2]</w:t>
        </w:r>
      </w:hyperlink>
      <w:r>
        <w:t xml:space="preserve"> </w:t>
      </w:r>
      <w:hyperlink r:id="rId11">
        <w:r>
          <w:rPr>
            <w:color w:val="0000EE"/>
            <w:u w:val="single"/>
          </w:rPr>
          <w:t>[3]</w:t>
        </w:r>
      </w:hyperlink>
      <w:r/>
    </w:p>
    <w:p>
      <w:r/>
      <w:r>
        <w:t>A law can set the rules, but its real value will be measured in whether people feel safer seeking help.</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[5]</w:t>
        </w:r>
      </w:hyperlink>
      <w:r>
        <w:t xml:space="preserve">- Paragraph 2: </w:t>
      </w:r>
      <w:hyperlink r:id="rId10">
        <w:r>
          <w:rPr>
            <w:color w:val="0000EE"/>
            <w:u w:val="single"/>
          </w:rPr>
          <w:t>[4]</w:t>
        </w:r>
      </w:hyperlink>
      <w:r>
        <w:t xml:space="preserve">- Paragraph 3: </w:t>
      </w:r>
      <w:hyperlink r:id="rId11">
        <w:r>
          <w:rPr>
            <w:color w:val="0000EE"/>
            <w:u w:val="single"/>
          </w:rPr>
          <w:t>[3]</w:t>
        </w:r>
      </w:hyperlink>
      <w:r>
        <w:t xml:space="preserve">- Paragraph 4: </w:t>
      </w:r>
      <w:hyperlink r:id="rId12">
        <w:r>
          <w:rPr>
            <w:color w:val="0000EE"/>
            <w:u w:val="single"/>
          </w:rPr>
          <w:t>[7]</w:t>
        </w:r>
      </w:hyperlink>
      <w:r>
        <w:t xml:space="preserve">, </w:t>
      </w:r>
      <w:hyperlink r:id="rId13">
        <w:r>
          <w:rPr>
            <w:color w:val="0000EE"/>
            <w:u w:val="single"/>
          </w:rPr>
          <w:t>[8]</w:t>
        </w:r>
      </w:hyperlink>
      <w:r>
        <w:t xml:space="preserve">- Paragraph 5: </w:t>
      </w:r>
      <w:hyperlink r:id="rId14">
        <w:r>
          <w:rPr>
            <w:color w:val="0000EE"/>
            <w:u w:val="single"/>
          </w:rPr>
          <w:t>[2]</w:t>
        </w:r>
      </w:hyperlink>
      <w:r>
        <w:t xml:space="preserve">- Paragraph 6: </w:t>
      </w:r>
      <w:hyperlink r:id="rId10">
        <w:r>
          <w:rPr>
            <w:color w:val="0000EE"/>
            <w:u w:val="single"/>
          </w:rPr>
          <w:t>[4]</w:t>
        </w:r>
      </w:hyperlink>
      <w:r>
        <w:t xml:space="preserve">- Paragraph 7: </w:t>
      </w:r>
      <w:hyperlink r:id="rId11">
        <w:r>
          <w:rPr>
            <w:color w:val="0000EE"/>
            <w:u w:val="single"/>
          </w:rPr>
          <w:t>[3]</w:t>
        </w:r>
      </w:hyperlink>
      <w:r>
        <w:t xml:space="preserve">- Paragraph 8: </w:t>
      </w:r>
      <w:hyperlink r:id="rId14">
        <w:r>
          <w:rPr>
            <w:color w:val="0000EE"/>
            <w:u w:val="single"/>
          </w:rPr>
          <w:t>[2]</w:t>
        </w:r>
      </w:hyperlink>
      <w:r>
        <w:t xml:space="preserve">- Paragraph 9: </w:t>
      </w:r>
      <w:hyperlink r:id="rId10">
        <w:r>
          <w:rPr>
            <w:color w:val="0000EE"/>
            <w:u w:val="single"/>
          </w:rPr>
          <w:t>[4]</w:t>
        </w:r>
      </w:hyperlink>
      <w:r>
        <w:t xml:space="preserve">, </w:t>
      </w:r>
      <w:hyperlink r:id="rId15">
        <w:r>
          <w:rPr>
            <w:color w:val="0000EE"/>
            <w:u w:val="single"/>
          </w:rPr>
          <w:t>[6]</w:t>
        </w:r>
      </w:hyperlink>
      <w:r>
        <w:t xml:space="preserve">- Paragraph 10: </w:t>
      </w:r>
      <w:hyperlink r:id="rId14">
        <w:r>
          <w:rPr>
            <w:color w:val="0000EE"/>
            <w:u w:val="single"/>
          </w:rPr>
          <w:t>[2]</w:t>
        </w:r>
      </w:hyperlink>
      <w:r>
        <w:t xml:space="preserve">, </w:t>
      </w:r>
      <w:hyperlink r:id="rId11">
        <w:r>
          <w:rPr>
            <w:color w:val="0000EE"/>
            <w:u w:val="single"/>
          </w:rPr>
          <w:t>[3]</w:t>
        </w:r>
      </w:hyperlink>
      <w:r>
        <w:t xml:space="preserve">- Paragraph 11: </w:t>
      </w:r>
      <w:hyperlink r:id="rId14">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https://perfil.com/cordoba/alertan-por-el-retroceso-de-derechos-y-los-ataques-de-odio-no-somos-vulnerables-el-sistema-nos-vulnero-aFQBK1T8Bogx</w:t>
        </w:r>
      </w:hyperlink>
      <w:r>
        <w:t xml:space="preserve"> - Please view link - unable to able to access data</w:t>
      </w:r>
      <w:r/>
    </w:p>
    <w:p>
      <w:pPr>
        <w:pStyle w:val="ListNumber"/>
        <w:spacing w:line="240" w:lineRule="auto"/>
        <w:ind w:left="720"/>
      </w:pPr>
      <w:r/>
      <w:hyperlink r:id="rId14">
        <w:r>
          <w:rPr>
            <w:color w:val="0000EE"/>
            <w:u w:val="single"/>
          </w:rPr>
          <w:t>https://perfil.com/cordoba/alertan-por-el-retroceso-de-derechos-y-los-ataques-de-odio-no-somos-vulnerables-el-sistema-nos-vulnero-aFQBK1T8Bogx</w:t>
        </w:r>
      </w:hyperlink>
      <w:r>
        <w:t xml:space="preserve"> - The supplied Perfil article reports on hate-motivated violence and discrimination affecting historically marginalised communities in Córdoba and Argentina. It centres on Nadiha Molina, a long-standing LGBTQ+ rights activist, who argues that the term “homophobia” can obscure deliberate acts of hatred and violence. Molina describes group assaults on trans women and sex workers, including incidents that are rarely reported because victims may distrust or fear the justice system. The article discusses the structural exclusion behind these attacks, including precarious access to health care, education and employment, and cites a historically low estimated life expectancy for trans people. It also presents reported figures on hate crimes, while warning that available counts are incomplete because they reflect only cases reported, litigated or covered by the media. Molina criticises institutional inaction and recounts how survivors can face further exposure to danger while waiting for justice. The article also covers Córdoba’s proposed provincial anti-discrimination law, developed with civil-society participation, which aims to prevent and sanction discrimination and provide remedies, including financial compensation. Its proposed protections are described as extending beyond LGBTQ+ people to other historically marginalised groups. Finally, the piece connects the debate to the provincial march and the broader struggle to protect rights amid what activists regard as political and social regression.</w:t>
      </w:r>
      <w:r/>
    </w:p>
    <w:p>
      <w:pPr>
        <w:pStyle w:val="ListNumber"/>
        <w:spacing w:line="240" w:lineRule="auto"/>
        <w:ind w:left="720"/>
      </w:pPr>
      <w:r/>
      <w:hyperlink r:id="rId11">
        <w:r>
          <w:rPr>
            <w:color w:val="0000EE"/>
            <w:u w:val="single"/>
          </w:rPr>
          <w:t>https://legislaturacba.gob.ar/cordoba-avanza-en-una-ley-antidiscriminatoria-para-promover-la-igualdad-y-el-respeto-a-la-diversidad/</w:t>
        </w:r>
      </w:hyperlink>
      <w:r>
        <w:t xml:space="preserve"> - This report from the Legislature of Córdoba covers the presentation of a provincial anti-discrimination bill on 12 May 2025. The initiative was introduced by provincial legislators Nadia Fernández, Miguel Siciliano and Ileana Quaglino, alongside representatives of public institutions and a broad range of social, cultural, religious and community organisations. The bill seeks to establish a comprehensive legal framework promoting equality, human dignity and respect for diversity. Its stated objectives are to prevent, punish and eradicate discriminatory conduct in both public and private settings, provide redress for harm and improve access to justice for individuals and groups facing discrimination. It also proposes public policies that recognise diverse identities. The report emphasises that the project was developed with input from organisations representing, among others, people with disabilities, Jewish and Muslim communities, Indigenous people, Afro-Argentines, immigrant communities and LGBTQ+ groups. Speakers at the presentation warned that hate speech and intolerance threaten social coexistence, and stressed the role of education in addressing discrimination. The article says the proposal would proceed to legislative committees after acquiring parliamentary status, with organisations invited to contribute further. This source supports the article’s account of the Córdoba bill’s broad participation, its inclusive scope and its goals of prevention, sanctions, justice and repair.</w:t>
      </w:r>
      <w:r/>
    </w:p>
    <w:p>
      <w:pPr>
        <w:pStyle w:val="ListNumber"/>
        <w:spacing w:line="240" w:lineRule="auto"/>
        <w:ind w:left="720"/>
      </w:pPr>
      <w:r/>
      <w:hyperlink r:id="rId10">
        <w:r>
          <w:rPr>
            <w:color w:val="0000EE"/>
            <w:u w:val="single"/>
          </w:rPr>
          <w:t>https://www.todxs.com.ar/25/wp-content/uploads/2026/03/Observatorio-Nacional-de-Crimenes-de-Odio-LGBT_Informe-anual-2025.pdf</w:t>
        </w:r>
      </w:hyperlink>
      <w:r>
        <w:t xml:space="preserve"> - This annual report by Argentina’s National Observatory of LGBT+ Hate Crimes presents its 2025 monitoring and compares findings with earlier years. It records 227 hate-crime cases in 2025, compared with 140 in 2024, and describes the increase as a significant worsening in the recorded violence. The report categorises harm to life and physical integrity, and analyses cases by affected community and type of violence. It records 80 cases involving harm to life, including killings, deaths attributed to structural violence and suicides, and 147 cases of physical violence that did not result in death. The document also discusses marked increases among several groups, including trans men, and notes that recorded cases do not necessarily represent the full extent of violence. The Observatory’s work is framed as a monitoring effort that helps make discrimination and attacks visible, rather than as a complete census of every incident. Its historical series places the 2025 total against counts from 2021 to 2024, showing a steady rise before the latest sharp increase. This primary-source report is the strongest support for the article’s numerical claims about hate crimes, year-on-year comparisons and the composition of recorded cases. It also provides context for why activists call for more effective protection and public responses.</w:t>
      </w:r>
      <w:r/>
    </w:p>
    <w:p>
      <w:pPr>
        <w:pStyle w:val="ListNumber"/>
        <w:spacing w:line="240" w:lineRule="auto"/>
        <w:ind w:left="720"/>
      </w:pPr>
      <w:r/>
      <w:hyperlink r:id="rId9">
        <w:r>
          <w:rPr>
            <w:color w:val="0000EE"/>
            <w:u w:val="single"/>
          </w:rPr>
          <w:t>https://rtsmedios.com.ar/hubo-227-crimenes-de-odio-contra-personas-lgbt-durante-2025/</w:t>
        </w:r>
      </w:hyperlink>
      <w:r>
        <w:t xml:space="preserve"> - Radio y Televisión Santafesina reports that the National Observatory of LGBT+ Hate Crimes registered 227 cases in Argentina during 2025, up from 140 the previous year. The article summarises the report’s distinction between 80 cases involving killings, suicides or deaths linked to structural violence, and 147 cases of physical violence that did not end in death. It provides a breakdown of some recorded deaths, including victims who were trans women, gay men and a lesbian, as well as deaths classified as structural violence and suicides. The report also includes comments from María Rachid, president of the Argentine LGBT Federation, who says violence has intensified and connects this to discriminatory and hateful public discourse. She describes a rise in violent messages on social media and says some people may now feel legitimised in expressing hostility. Rachid calls for public policy in education, culture and media to help counter discrimination, and criticises national government measures. The story is useful corroboration of the headline figures and illustrates the connection drawn by LGBT+ organisations between recorded violence, public rhetoric and weakened protections. It complements the Observatory’s underlying report by presenting its findings in accessible news form and including an interview with an organisational representative.</w:t>
      </w:r>
      <w:r/>
    </w:p>
    <w:p>
      <w:pPr>
        <w:pStyle w:val="ListNumber"/>
        <w:spacing w:line="240" w:lineRule="auto"/>
        <w:ind w:left="720"/>
      </w:pPr>
      <w:r/>
      <w:hyperlink r:id="rId15">
        <w:r>
          <w:rPr>
            <w:color w:val="0000EE"/>
            <w:u w:val="single"/>
          </w:rPr>
          <w:t>https://efe.com/mundo/2025-02-15/argentina-colectivo-lgtb-violencia-2024/</w:t>
        </w:r>
      </w:hyperlink>
      <w:r>
        <w:t xml:space="preserve"> - This EFE report, published on 15 February 2025, summarises the Observatory’s findings on anti-LGBT violence in Argentina during 2024. It says 140 hate crimes were recorded that year, compared with 133 in 2023, 129 in 2022 and 120 in 2021. The report highlights 17 killings in 2024, nearly twice the nine recorded in 2023, and a rise in incidents in public spaces from 32 to 49. It identifies street assaults as the most frequently recorded setting and describes physical beatings and structural violence among the main forms of harm. Trans women accounted for the great majority of cases in the report’s breakdown. EFE also stresses that the figures are subject to under-reporting, since victims may not feel able to make complaints. The article situates the statistics in a wider context of discrimination, public rhetoric and the reduction of national programmes and institutions intended to protect LGBTQ+ people, including INADI. It provides independent reporting that corroborates the earlier-year baseline used in comparisons with 2025 and supports the article’s concerns about the limits of available data and the consequences of institutional changes.</w:t>
      </w:r>
      <w:r/>
    </w:p>
    <w:p>
      <w:pPr>
        <w:pStyle w:val="ListNumber"/>
        <w:spacing w:line="240" w:lineRule="auto"/>
        <w:ind w:left="720"/>
      </w:pPr>
      <w:r/>
      <w:hyperlink r:id="rId12">
        <w:r>
          <w:rPr>
            <w:color w:val="0000EE"/>
            <w:u w:val="single"/>
          </w:rPr>
          <w:t>https://www.argentina.gob.ar/normativa/nacional/resoluci%C3%B3n-3558-2023-393008/texto</w:t>
        </w:r>
      </w:hyperlink>
      <w:r>
        <w:t xml:space="preserve"> - This Argentine Ministry of Health resolution includes a discussion of estimates of life expectancy for trans people in Argentina. It states that available surveys have estimated an average life span of approximately 35 to 40 years, substantially below the general population figure cited in the document. It also describes mortality patterns among trans and travesti women and refers to data collection and research used to inform health policy. The resolution is an official government source, making it useful for checking the life-expectancy claim cited in the Perfil article. The estimate should be interpreted carefully: it is a historically repeated figure drawn from particular studies and surveys, rather than a continuously updated national life table or a precise current measurement. The resolution’s context links health outcomes to social and structural conditions, including unequal access to services and the effects of discrimination. It therefore supports the article’s broader point that early mortality is associated with more than isolated acts of violence, while not independently establishing every causal explanation made by interviewees. As a primary administrative document, it also illustrates that the estimate has appeared in national policy materials. Readers should distinguish this reported estimate from official population-wide life expectancy statistics, since the two figures may be produced through different methods and data sources.</w:t>
      </w:r>
      <w:r/>
    </w:p>
    <w:p>
      <w:pPr>
        <w:pStyle w:val="ListNumber"/>
        <w:spacing w:line="240" w:lineRule="auto"/>
        <w:ind w:left="720"/>
      </w:pPr>
      <w:r/>
      <w:hyperlink r:id="rId13">
        <w:r>
          <w:rPr>
            <w:color w:val="0000EE"/>
            <w:u w:val="single"/>
          </w:rPr>
          <w:t>https://www.argentina.gob.ar/normativa/nacional/decreto-696-2024-402470</w:t>
        </w:r>
      </w:hyperlink>
      <w:r>
        <w:t xml:space="preserve"> - This official Argentine government entry summarises Decree 696/2024, which ordered the dissolution of the National Institute against Discrimination, Xenophobia and Racism, known as INADI. The decree is directly relevant to the Perfil article’s discussion of a perceived institutional gap following the closure of the national anti-discrimination body and the efforts in Córdoba to develop a provincial law. The page establishes the formal legal action and identifies the institution affected. It is important to separate that documented fact from the article’s interpretation of its consequences: the decree confirms INADI’s dissolution, but does not itself establish that every affected community has been left without legal remedies or that a provincial bill will replace all of the institute’s functions. The entry provides an authoritative reference for the national policy change mentioned in the article. In the broader context, Córdoba’s proposed legislation is described as a local measure intended to prevent and address discriminatory acts, offer routes to justice and provide remedies. This decree therefore supports the background claim about the institutional change while allowing readers to assess separately the activists’ argument that the change created a protection gap.</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tsmedios.com.ar/hubo-227-crimenes-de-odio-contra-personas-lgbt-durante-2025/" TargetMode="External"/><Relationship Id="rId10" Type="http://schemas.openxmlformats.org/officeDocument/2006/relationships/hyperlink" Target="https://www.todxs.com.ar/25/wp-content/uploads/2026/03/Observatorio-Nacional-de-Crimenes-de-Odio-LGBT_Informe-anual-2025.pdf" TargetMode="External"/><Relationship Id="rId11" Type="http://schemas.openxmlformats.org/officeDocument/2006/relationships/hyperlink" Target="https://legislaturacba.gob.ar/cordoba-avanza-en-una-ley-antidiscriminatoria-para-promover-la-igualdad-y-el-respeto-a-la-diversidad/" TargetMode="External"/><Relationship Id="rId12" Type="http://schemas.openxmlformats.org/officeDocument/2006/relationships/hyperlink" Target="https://www.argentina.gob.ar/normativa/nacional/resoluci%C3%B3n-3558-2023-393008/texto" TargetMode="External"/><Relationship Id="rId13" Type="http://schemas.openxmlformats.org/officeDocument/2006/relationships/hyperlink" Target="https://www.argentina.gob.ar/normativa/nacional/decreto-696-2024-402470" TargetMode="External"/><Relationship Id="rId14" Type="http://schemas.openxmlformats.org/officeDocument/2006/relationships/hyperlink" Target="https://perfil.com/cordoba/alertan-por-el-retroceso-de-derechos-y-los-ataques-de-odio-no-somos-vulnerables-el-sistema-nos-vulnero-aFQBK1T8Bogx" TargetMode="External"/><Relationship Id="rId15" Type="http://schemas.openxmlformats.org/officeDocument/2006/relationships/hyperlink" Target="https://efe.com/mundo/2025-02-15/argentina-colectivo-lgtb-violencia-20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