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Reliable Gay Men Can Feel Lonely Despite Close Friendships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dependable friend may be surrounded by people and still feel unseen. For some gay men, years spent organising, listening and keeping a brave face can make it difficult to ask for care in return. That matters because closeness isn’t only about being needed: it also means letting trusted people know what’s really going on.</w:t>
      </w:r>
      <w:r/>
    </w:p>
    <w:p>
      <w:pPr>
        <w:pStyle w:val="Heading2"/>
      </w:pPr>
      <w:r>
        <w:t>Essential Takeaways</w:t>
      </w:r>
      <w:r/>
      <w:r/>
    </w:p>
    <w:p>
      <w:pPr>
        <w:pStyle w:val="ListBullet"/>
        <w:spacing w:line="240" w:lineRule="auto"/>
        <w:ind w:left="720"/>
      </w:pPr>
      <w:r/>
      <w:r>
        <w:rPr>
          <w:b/>
        </w:rPr>
        <w:t>Loneliness isn’t simply being alone:</w:t>
      </w:r>
      <w:r>
        <w:t xml:space="preserve"> Someone can have a partner, friends and chosen family yet feel that others know only their capable side.</w:t>
      </w:r>
      <w:r/>
    </w:p>
    <w:p>
      <w:pPr>
        <w:pStyle w:val="ListBullet"/>
        <w:spacing w:line="240" w:lineRule="auto"/>
        <w:ind w:left="720"/>
      </w:pPr>
      <w:r/>
      <w:r>
        <w:rPr>
          <w:b/>
        </w:rPr>
        <w:t>A helpful role can become a hiding place:</w:t>
      </w:r>
      <w:r>
        <w:t xml:space="preserve"> Constantly looking after others may make asking for support feel unfamiliar or risky.</w:t>
      </w:r>
      <w:r/>
    </w:p>
    <w:p>
      <w:pPr>
        <w:pStyle w:val="ListBullet"/>
        <w:spacing w:line="240" w:lineRule="auto"/>
        <w:ind w:left="720"/>
      </w:pPr>
      <w:r/>
      <w:r>
        <w:rPr>
          <w:b/>
        </w:rPr>
        <w:t>Small disclosures can open the door:</w:t>
      </w:r>
      <w:r>
        <w:t xml:space="preserve"> Sharing one honest sentence with someone trusted is a manageable place to start.</w:t>
      </w:r>
      <w:r/>
    </w:p>
    <w:p>
      <w:pPr>
        <w:pStyle w:val="ListBullet"/>
        <w:spacing w:line="240" w:lineRule="auto"/>
        <w:ind w:left="720"/>
      </w:pPr>
      <w:r/>
      <w:r>
        <w:rPr>
          <w:b/>
        </w:rPr>
        <w:t>Awkwardness isn’t always rejection:</w:t>
      </w:r>
      <w:r>
        <w:t xml:space="preserve"> Friends may need a moment to adjust when the dependable person admits they’re struggling.</w:t>
      </w:r>
      <w:r/>
      <w:r/>
    </w:p>
    <w:p>
      <w:pPr>
        <w:pStyle w:val="Heading2"/>
      </w:pPr>
      <w:r>
        <w:t>When everyone relies on you, who gets to know you?</w:t>
      </w:r>
      <w:r/>
    </w:p>
    <w:p>
      <w:r/>
      <w:r>
        <w:t xml:space="preserve">Being the person who remembers birthdays, makes the plans and picks up the phone can feel warm and meaningful. But there’s a quieter side to that role: friends may trust you deeply while knowing surprisingly little about what you’re carrying. The gap isn’t necessarily a lack of affection; it may be that your struggles rarely make it into the conversation. </w:t>
      </w:r>
      <w:hyperlink r:id="rId9">
        <w:r>
          <w:rPr>
            <w:color w:val="0000EE"/>
            <w:u w:val="single"/>
          </w:rPr>
          <w:t>[2]</w:t>
        </w:r>
      </w:hyperlink>
      <w:r>
        <w:t xml:space="preserve">, </w:t>
      </w:r>
      <w:hyperlink r:id="rId10">
        <w:r>
          <w:rPr>
            <w:color w:val="0000EE"/>
            <w:u w:val="single"/>
          </w:rPr>
          <w:t>[3]</w:t>
        </w:r>
      </w:hyperlink>
      <w:r/>
    </w:p>
    <w:p>
      <w:r/>
      <w:r>
        <w:t xml:space="preserve">That distinction matters. A full social calendar doesn’t automatically provide the feeling of being understood, and having people to call doesn’t always make it easy to call them. When the version of you that others see is always calm and capable, they may not realise there’s anything you’d like them to notice. </w:t>
      </w:r>
      <w:hyperlink r:id="rId9">
        <w:r>
          <w:rPr>
            <w:color w:val="0000EE"/>
            <w:u w:val="single"/>
          </w:rPr>
          <w:t>[2]</w:t>
        </w:r>
      </w:hyperlink>
      <w:r>
        <w:t xml:space="preserve">, </w:t>
      </w:r>
      <w:hyperlink r:id="rId11">
        <w:r>
          <w:rPr>
            <w:color w:val="0000EE"/>
            <w:u w:val="single"/>
          </w:rPr>
          <w:t>[4]</w:t>
        </w:r>
      </w:hyperlink>
      <w:r/>
    </w:p>
    <w:p>
      <w:pPr>
        <w:pStyle w:val="Heading2"/>
      </w:pPr>
      <w:r>
        <w:t>Why asking for support can feel unfamiliar</w:t>
      </w:r>
      <w:r/>
    </w:p>
    <w:p>
      <w:r/>
      <w:r>
        <w:t xml:space="preserve">For some gay men, especially those who learnt to be cautious about openness, keeping feelings private may once have felt protective. Reading a room carefully and deciding what to reveal can become second nature. Even in trusting relationships, that habit may make vulnerability feel like stepping into unfamiliar territory. </w:t>
      </w:r>
      <w:hyperlink r:id="rId10">
        <w:r>
          <w:rPr>
            <w:color w:val="0000EE"/>
            <w:u w:val="single"/>
          </w:rPr>
          <w:t>[3]</w:t>
        </w:r>
      </w:hyperlink>
      <w:r>
        <w:t xml:space="preserve">, </w:t>
      </w:r>
      <w:hyperlink r:id="rId12">
        <w:r>
          <w:rPr>
            <w:color w:val="0000EE"/>
            <w:u w:val="single"/>
          </w:rPr>
          <w:t>[5]</w:t>
        </w:r>
      </w:hyperlink>
      <w:r/>
    </w:p>
    <w:p>
      <w:r/>
      <w:r>
        <w:t xml:space="preserve">And there’s often a practical worry underneath: will a partner think they’ve failed to notice, or will a friend know what to say? Someone who’s used to helping may also worry that their own difficulties are too small to mention. Those concerns can keep a person quiet, even when they genuinely want company or comfort. </w:t>
      </w:r>
      <w:hyperlink r:id="rId12">
        <w:r>
          <w:rPr>
            <w:color w:val="0000EE"/>
            <w:u w:val="single"/>
          </w:rPr>
          <w:t>[5]</w:t>
        </w:r>
      </w:hyperlink>
      <w:r>
        <w:t xml:space="preserve">, </w:t>
      </w:r>
      <w:hyperlink r:id="rId13">
        <w:r>
          <w:rPr>
            <w:color w:val="0000EE"/>
            <w:u w:val="single"/>
          </w:rPr>
          <w:t>[6]</w:t>
        </w:r>
      </w:hyperlink>
      <w:r/>
    </w:p>
    <w:p>
      <w:pPr>
        <w:pStyle w:val="Heading2"/>
      </w:pPr>
      <w:r>
        <w:t>Being needed isn’t the same as being known</w:t>
      </w:r>
      <w:r/>
    </w:p>
    <w:p>
      <w:r/>
      <w:r>
        <w:t xml:space="preserve">There’s real satisfaction in showing up for people. The trouble starts when giving help becomes the only way closeness feels comfortable. You may be able to sit with a friend’s troubles for hours, then reflexively say “I’m fine” when they ask about yours. That answer can be sincere and still leave something important unsaid. </w:t>
      </w:r>
      <w:hyperlink r:id="rId9">
        <w:r>
          <w:rPr>
            <w:color w:val="0000EE"/>
            <w:u w:val="single"/>
          </w:rPr>
          <w:t>[2]</w:t>
        </w:r>
      </w:hyperlink>
      <w:r>
        <w:t xml:space="preserve">, </w:t>
      </w:r>
      <w:hyperlink r:id="rId11">
        <w:r>
          <w:rPr>
            <w:color w:val="0000EE"/>
            <w:u w:val="single"/>
          </w:rPr>
          <w:t>[4]</w:t>
        </w:r>
      </w:hyperlink>
      <w:r/>
    </w:p>
    <w:p>
      <w:r/>
      <w:r>
        <w:t xml:space="preserve">Praise for being dependable can feel good, but it can’t answer a more tender question: would people still make space for you when you have nothing to organise, fix or give? Relationships become more mutual when there’s room for care to travel both ways. </w:t>
      </w:r>
      <w:hyperlink r:id="rId9">
        <w:r>
          <w:rPr>
            <w:color w:val="0000EE"/>
            <w:u w:val="single"/>
          </w:rPr>
          <w:t>[2]</w:t>
        </w:r>
      </w:hyperlink>
      <w:r>
        <w:t xml:space="preserve">, </w:t>
      </w:r>
      <w:hyperlink r:id="rId13">
        <w:r>
          <w:rPr>
            <w:color w:val="0000EE"/>
            <w:u w:val="single"/>
          </w:rPr>
          <w:t>[6]</w:t>
        </w:r>
      </w:hyperlink>
      <w:r/>
    </w:p>
    <w:p>
      <w:pPr>
        <w:pStyle w:val="Heading2"/>
      </w:pPr>
      <w:r>
        <w:t>Start with one honest sentence</w:t>
      </w:r>
      <w:r/>
    </w:p>
    <w:p>
      <w:r/>
      <w:r>
        <w:t xml:space="preserve">There’s no need for a grand announcement or a perfectly worded explanation. Try telling one trusted person, perhaps over coffee, that you’ve been feeling lonely or having a hard time. You can also ask plainly whether they have time to listen. A simple, honest opening gives the other person something real to respond to. </w:t>
      </w:r>
      <w:hyperlink r:id="rId9">
        <w:r>
          <w:rPr>
            <w:color w:val="0000EE"/>
            <w:u w:val="single"/>
          </w:rPr>
          <w:t>[2]</w:t>
        </w:r>
      </w:hyperlink>
      <w:r>
        <w:t xml:space="preserve">, </w:t>
      </w:r>
      <w:hyperlink r:id="rId10">
        <w:r>
          <w:rPr>
            <w:color w:val="0000EE"/>
            <w:u w:val="single"/>
          </w:rPr>
          <w:t>[3]</w:t>
        </w:r>
      </w:hyperlink>
      <w:r/>
    </w:p>
    <w:p>
      <w:r/>
      <w:r>
        <w:t xml:space="preserve">Then pause. It may be tempting to apologise, make a joke or quickly turn the conversation back to them, particularly if that’s your usual rhythm. Let the words sit for a moment. Your friend may not find the perfect response straight away, but an awkward first reaction doesn’t necessarily tell you how much they care. </w:t>
      </w:r>
      <w:hyperlink r:id="rId9">
        <w:r>
          <w:rPr>
            <w:color w:val="0000EE"/>
            <w:u w:val="single"/>
          </w:rPr>
          <w:t>[2]</w:t>
        </w:r>
      </w:hyperlink>
      <w:r>
        <w:t xml:space="preserve">, </w:t>
      </w:r>
      <w:hyperlink r:id="rId12">
        <w:r>
          <w:rPr>
            <w:color w:val="0000EE"/>
            <w:u w:val="single"/>
          </w:rPr>
          <w:t>[5]</w:t>
        </w:r>
      </w:hyperlink>
      <w:r/>
    </w:p>
    <w:p>
      <w:pPr>
        <w:pStyle w:val="Heading2"/>
      </w:pPr>
      <w:r>
        <w:t>Practise receiving care, too</w:t>
      </w:r>
      <w:r/>
    </w:p>
    <w:p>
      <w:r/>
      <w:r>
        <w:t xml:space="preserve">Asking for support can happen in small, ordinary ways. If a friend offers to make dinner or take charge of plans, let them. When someone asks how you are, take a breath before reaching for the familiar “I’m fine”. A more truthful answer can be brief; it doesn’t have to contain the whole story. </w:t>
      </w:r>
      <w:hyperlink r:id="rId9">
        <w:r>
          <w:rPr>
            <w:color w:val="0000EE"/>
            <w:u w:val="single"/>
          </w:rPr>
          <w:t>[2]</w:t>
        </w:r>
      </w:hyperlink>
      <w:r>
        <w:t xml:space="preserve">, </w:t>
      </w:r>
      <w:hyperlink r:id="rId13">
        <w:r>
          <w:rPr>
            <w:color w:val="0000EE"/>
            <w:u w:val="single"/>
          </w:rPr>
          <w:t>[6]</w:t>
        </w:r>
      </w:hyperlink>
      <w:r/>
    </w:p>
    <w:p>
      <w:r/>
      <w:r>
        <w:t xml:space="preserve">Research on LGBTQ+ wellbeing provides a wider context for why connection and support matter, while local data can help illuminate the experiences of LGBTQ+ adults. But no statistic can tell a trusted friend what you need in a particular moment. That part often begins with one small invitation to see beyond the dependable role. </w:t>
      </w:r>
      <w:hyperlink r:id="rId12">
        <w:r>
          <w:rPr>
            <w:color w:val="0000EE"/>
            <w:u w:val="single"/>
          </w:rPr>
          <w:t>[5]</w:t>
        </w:r>
      </w:hyperlink>
      <w:r>
        <w:t xml:space="preserve">, </w:t>
      </w:r>
      <w:hyperlink r:id="rId14">
        <w:r>
          <w:rPr>
            <w:color w:val="0000EE"/>
            <w:u w:val="single"/>
          </w:rPr>
          <w:t>[7]</w:t>
        </w:r>
      </w:hyperlink>
      <w:r/>
    </w:p>
    <w:p>
      <w:r/>
      <w:r>
        <w:rPr>
          <w:b/>
        </w:rPr>
        <w:t>Let someone you trust meet the part of you that doesn’t always have everything handled.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12">
        <w:r>
          <w:rPr>
            <w:color w:val="0000EE"/>
            <w:u w:val="single"/>
          </w:rPr>
          <w:t>[5]</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https://goodmenproject.com/featured-content/the-hidden-loneliness-of-gay-men-who-always-show-up/</w:t>
        </w:r>
      </w:hyperlink>
      <w:r>
        <w:t xml:space="preserve"> - Please view link - unable to able to access data</w:t>
      </w:r>
      <w:r/>
    </w:p>
    <w:p>
      <w:pPr>
        <w:pStyle w:val="ListNumber"/>
        <w:spacing w:line="240" w:lineRule="auto"/>
        <w:ind w:left="720"/>
      </w:pPr>
      <w:r/>
      <w:hyperlink r:id="rId9">
        <w:r>
          <w:rPr>
            <w:color w:val="0000EE"/>
            <w:u w:val="single"/>
          </w:rPr>
          <w:t>https://pmc.ncbi.nlm.nih.gov/articles/PMC11149496/</w:t>
        </w:r>
      </w:hyperlink>
      <w:r>
        <w:t xml:space="preserve"> - This study examines social connectedness among sexual and gender minority adults aged 50 and older in the United States. Using data from the National Health, Aging, and Sexuality/Gender Study, it considers relationships, social participation, support and connectedness. The findings indicate that social connection is multidimensional: having contacts does not necessarily mean feeling supported or understood. Sexual and gender minority men reported particular weaknesses in the availability of emotional support and satisfaction with support from friends. The article offers useful context for the distinction between having people around and feeling emotionally known, while noting that experiences vary across individuals and groups. It does not establish the article’s personal account.</w:t>
      </w:r>
      <w:r/>
    </w:p>
    <w:p>
      <w:pPr>
        <w:pStyle w:val="ListNumber"/>
        <w:spacing w:line="240" w:lineRule="auto"/>
        <w:ind w:left="720"/>
      </w:pPr>
      <w:r/>
      <w:hyperlink r:id="rId10">
        <w:r>
          <w:rPr>
            <w:color w:val="0000EE"/>
            <w:u w:val="single"/>
          </w:rPr>
          <w:t>https://pmc.ncbi.nlm.nih.gov/articles/PMC8317792/</w:t>
        </w:r>
      </w:hyperlink>
      <w:r>
        <w:t xml:space="preserve"> - This research explores social relationships and loneliness in later adulthood, comparing people across sexual orientation groups. It considers how relationship networks, social support and relationship strain relate to loneliness, rather than treating loneliness simply as living alone. The article also discusses barriers some older lesbian, gay and bisexual adults encounter when seeking community, including fear of judgement outside LGBTQ settings and ageism within some LGBTQ spaces. Its findings help support the broader point that loneliness can persist despite relationships and social contact, especially when those relationships do not provide satisfying support or belonging. The study concerns group patterns and cannot explain any one person’s experience.</w:t>
      </w:r>
      <w:r/>
    </w:p>
    <w:p>
      <w:pPr>
        <w:pStyle w:val="ListNumber"/>
        <w:spacing w:line="240" w:lineRule="auto"/>
        <w:ind w:left="720"/>
      </w:pPr>
      <w:r/>
      <w:hyperlink r:id="rId11">
        <w:r>
          <w:rPr>
            <w:color w:val="0000EE"/>
            <w:u w:val="single"/>
          </w:rPr>
          <w:t>https://pmc.ncbi.nlm.nih.gov/articles/PMC4873763/</w:t>
        </w:r>
      </w:hyperlink>
      <w:r>
        <w:t xml:space="preserve"> - This study investigates living arrangements and loneliness among lesbian, gay and bisexual older adults. It examines how social resources, including network size and support, and personal constraints, including identity concealment and internalised stigma, relate to loneliness. The researchers report that loneliness is not confined to people living alone: older adults living with someone other than a partner or spouse may also be at risk. The findings offer evidence for the article’s central distinction between having people in one’s life and feeling emotionally connected or understood. They also suggest that concealment and limited support can matter, although the study does not directly assess dependable friendship roles.</w:t>
      </w:r>
      <w:r/>
    </w:p>
    <w:p>
      <w:pPr>
        <w:pStyle w:val="ListNumber"/>
        <w:spacing w:line="240" w:lineRule="auto"/>
        <w:ind w:left="720"/>
      </w:pPr>
      <w:r/>
      <w:hyperlink r:id="rId12">
        <w:r>
          <w:rPr>
            <w:color w:val="0000EE"/>
            <w:u w:val="single"/>
          </w:rPr>
          <w:t>https://www.tandfonline.com/doi/full/10.1080/00918369.2025.2485144</w:t>
        </w:r>
      </w:hyperlink>
      <w:r>
        <w:t xml:space="preserve"> - This research article analyses links between social networks and emotional wellbeing among LGBT Americans aged 50 and older. Using a national sample, it examines network size and composition alongside perceived social support, loneliness and depressive symptoms. Its central finding is that perceived support helps explain how network characteristics relate to emotional wellbeing. This is relevant to the article’s argument that the existence of friends or chosen family does not necessarily resolve loneliness: the quality and felt availability of support also matter. The study concerns population-level associations, not personal testimony, and does not show that a particular friendship pattern causes loneliness. It contributes evidence about older LGBT adults.</w:t>
      </w:r>
      <w:r/>
    </w:p>
    <w:p>
      <w:pPr>
        <w:pStyle w:val="ListNumber"/>
        <w:spacing w:line="240" w:lineRule="auto"/>
        <w:ind w:left="720"/>
      </w:pPr>
      <w:r/>
      <w:hyperlink r:id="rId13">
        <w:r>
          <w:rPr>
            <w:color w:val="0000EE"/>
            <w:u w:val="single"/>
          </w:rPr>
          <w:t>https://pmc.ncbi.nlm.nih.gov/articles/PMC8900533/</w:t>
        </w:r>
      </w:hyperlink>
      <w:r>
        <w:t xml:space="preserve"> - This study examines social and environmental factors associated with loneliness among older men who have sex with men, comparing participants with and without HIV. Drawing on the Multicenter AIDS Cohort Study, it investigates how social resources and supportive environments relate to loneliness. The findings emphasise that social context and perceived support are important to understanding loneliness among older men. The article supports the broader point that loneliness is shaped not only by the number of relationships someone has, but also by the resources and connection those relationships provide. Its population is specific, so results should not be generalised to every gay man or treated as evidence about one individual.</w:t>
      </w:r>
      <w:r/>
    </w:p>
    <w:p>
      <w:pPr>
        <w:pStyle w:val="ListNumber"/>
        <w:spacing w:line="240" w:lineRule="auto"/>
        <w:ind w:left="720"/>
      </w:pPr>
      <w:r/>
      <w:hyperlink r:id="rId14">
        <w:r>
          <w:rPr>
            <w:color w:val="0000EE"/>
            <w:u w:val="single"/>
          </w:rPr>
          <w:t>https://williamsinstitute.law.ucla.edu/wp-content/uploads/LACo-LGBTQ-Adults-Jun-2024.pdf</w:t>
        </w:r>
      </w:hyperlink>
      <w:r>
        <w:t xml:space="preserve"> - This report presents survey findings on LGBTQ adults’ lives in Los Angeles County, covering social relationships, support, loneliness, health and other concerns. It reports that LGBTQ adults were more likely than non-LGBTQ adults to feel lonely and less likely to say they usually received needed social and emotional support. Among respondents aged 50 and older, the report also found substantial loneliness and unmet support needs. The findings give local, quantitative context for the article’s observation that people can have friends or family yet still feel lonely or insufficiently supported. The survey represents one county, however, and does not establish why any particular person feels lonely.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mc.ncbi.nlm.nih.gov/articles/PMC11149496/" TargetMode="External"/><Relationship Id="rId10" Type="http://schemas.openxmlformats.org/officeDocument/2006/relationships/hyperlink" Target="https://pmc.ncbi.nlm.nih.gov/articles/PMC8317792/" TargetMode="External"/><Relationship Id="rId11" Type="http://schemas.openxmlformats.org/officeDocument/2006/relationships/hyperlink" Target="https://pmc.ncbi.nlm.nih.gov/articles/PMC4873763/" TargetMode="External"/><Relationship Id="rId12" Type="http://schemas.openxmlformats.org/officeDocument/2006/relationships/hyperlink" Target="https://www.tandfonline.com/doi/full/10.1080/00918369.2025.2485144" TargetMode="External"/><Relationship Id="rId13" Type="http://schemas.openxmlformats.org/officeDocument/2006/relationships/hyperlink" Target="https://pmc.ncbi.nlm.nih.gov/articles/PMC8900533/" TargetMode="External"/><Relationship Id="rId14" Type="http://schemas.openxmlformats.org/officeDocument/2006/relationships/hyperlink" Target="https://williamsinstitute.law.ucla.edu/wp-content/uploads/LACo-LGBTQ-Adults-Jun-2024.pdf" TargetMode="External"/><Relationship Id="rId15" Type="http://schemas.openxmlformats.org/officeDocument/2006/relationships/hyperlink" Target="https://goodmenproject.com/featured-content/the-hidden-loneliness-of-gay-men-who-always-show-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