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Icons and Diva Anthems Still Matter to Queer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diva can turn a roomful of strangers into a chorus, but the appeal of gay icons goes well beyond a great song. Across music, film and drag culture, queer fans have found room for camp, reinvention and recognition, while building traditions that belong to a wide range of LGBTQ+ audiences.</w:t>
      </w:r>
      <w:r/>
    </w:p>
    <w:p>
      <w:pPr>
        <w:pStyle w:val="Heading2"/>
      </w:pPr>
      <w:r>
        <w:t>A great chorus can feel like a shared language</w:t>
      </w:r>
      <w:r/>
    </w:p>
    <w:p>
      <w:r/>
      <w:r>
        <w:t>The first notes land, someone knows every word, and suddenly the room feels less like a crowd and more like a chorus. That’s part of the pull of a gay icon: a performer can offer a song, a look or a dose of theatrical nerve that fans carry into their own lives.</w:t>
      </w:r>
      <w:r/>
    </w:p>
    <w:p>
      <w:r/>
      <w:r>
        <w:t xml:space="preserve">There’s no official test for the title. Some fans connect with a performer’s activism or personal story; others come for a commanding voice, a dramatic entrance or the pleasure of a perfectly delivered pause. And no one has to love the same stars to belong. </w:t>
      </w:r>
      <w:hyperlink r:id="rId9">
        <w:r>
          <w:rPr>
            <w:color w:val="0000EE"/>
            <w:u w:val="single"/>
          </w:rPr>
          <w:t>[2]</w:t>
        </w:r>
      </w:hyperlink>
      <w:r/>
    </w:p>
    <w:p>
      <w:pPr>
        <w:pStyle w:val="Heading2"/>
      </w:pPr>
      <w:r>
        <w:t>Camp, recognition and the joy of a comeback</w:t>
      </w:r>
      <w:r/>
    </w:p>
    <w:p>
      <w:r/>
      <w:r>
        <w:t xml:space="preserve">Camp is one way to understand diva fandom, though it isn’t a rulebook. The Metropolitan Museum of Art’s exhibition on camp and fashion drew on Susan Sontag’s influential writing about theatricality and excess. An impossible gown or a knowing gesture can be a delight in its own right, without needing to stand for one fixed idea. </w:t>
      </w:r>
      <w:hyperlink r:id="rId10">
        <w:r>
          <w:rPr>
            <w:color w:val="0000EE"/>
            <w:u w:val="single"/>
          </w:rPr>
          <w:t>[3]</w:t>
        </w:r>
      </w:hyperlink>
      <w:r/>
    </w:p>
    <w:p>
      <w:r/>
      <w:r>
        <w:t xml:space="preserve">There’s also the feeling of being recognised. Film scholar Richard Dyer’s analysis of Judy Garland’s appeal considers qualities such as ordinariness, androgyny and camp. That’s one interpretation, not a diagnosis of every fan; a performance can resonate because it leaves space for people to bring their own hopes and experiences. </w:t>
      </w:r>
      <w:hyperlink r:id="rId11">
        <w:r>
          <w:rPr>
            <w:color w:val="0000EE"/>
            <w:u w:val="single"/>
          </w:rPr>
          <w:t>[4]</w:t>
        </w:r>
      </w:hyperlink>
      <w:r/>
    </w:p>
    <w:p>
      <w:r/>
      <w:r>
        <w:t xml:space="preserve">Then there’s the comeback. Watching a star return to the spotlight can be satisfying for anyone who’s been underestimated, while a familiar chorus is reason enough to celebrate. Fans don’t need to agree on the meaning to meet on the dance floor. </w:t>
      </w:r>
      <w:hyperlink r:id="rId9">
        <w:r>
          <w:rPr>
            <w:color w:val="0000EE"/>
            <w:u w:val="single"/>
          </w:rPr>
          <w:t>[2]</w:t>
        </w:r>
      </w:hyperlink>
      <w:r/>
    </w:p>
    <w:p>
      <w:pPr>
        <w:pStyle w:val="Heading2"/>
      </w:pPr>
      <w:r>
        <w:t>Drag turns admiration into something of its own</w:t>
      </w:r>
      <w:r/>
    </w:p>
    <w:p>
      <w:r/>
      <w:r>
        <w:t xml:space="preserve">Drag makes diva fandom wonderfully visible. A singer’s voice, a signature look or a single gesture can become material for another performer to honour, exaggerate or tease. The tribute becomes a performance in its own right, with its own wit and point of view. </w:t>
      </w:r>
      <w:hyperlink r:id="rId9">
        <w:r>
          <w:rPr>
            <w:color w:val="0000EE"/>
            <w:u w:val="single"/>
          </w:rPr>
          <w:t>[2]</w:t>
        </w:r>
      </w:hyperlink>
      <w:r/>
    </w:p>
    <w:p>
      <w:r/>
      <w:r>
        <w:t xml:space="preserve">That connection isn’t just about celebrity. Esther Newton’s </w:t>
      </w:r>
      <w:r>
        <w:rPr>
          <w:i/>
        </w:rPr>
        <w:t>Mother Camp</w:t>
      </w:r>
      <w:r>
        <w:t xml:space="preserve">, based on research with drag performers, offers a way into the working culture of bars and dressing rooms. The result is a richer picture than simply admiring a star from afar. </w:t>
      </w:r>
      <w:hyperlink r:id="rId9">
        <w:r>
          <w:rPr>
            <w:color w:val="0000EE"/>
            <w:u w:val="single"/>
          </w:rPr>
          <w:t>[2]</w:t>
        </w:r>
      </w:hyperlink>
      <w:r/>
    </w:p>
    <w:p>
      <w:pPr>
        <w:pStyle w:val="Heading2"/>
      </w:pPr>
      <w:r>
        <w:t>The history behind the songs matters, too</w:t>
      </w:r>
      <w:r/>
    </w:p>
    <w:p>
      <w:r/>
      <w:r>
        <w:t xml:space="preserve">Some icons are remembered not only for their performances but for how they used their visibility. Elizabeth Taylor helped establish amfAR in 1985, during an era when people with HIV faced stigma and abandonment. Her activism shows how celebrity attention could be directed towards fundraising and public awareness. </w:t>
      </w:r>
      <w:hyperlink r:id="rId12">
        <w:r>
          <w:rPr>
            <w:color w:val="0000EE"/>
            <w:u w:val="single"/>
          </w:rPr>
          <w:t>[7]</w:t>
        </w:r>
      </w:hyperlink>
      <w:r/>
    </w:p>
    <w:p>
      <w:r/>
      <w:r>
        <w:t xml:space="preserve">But history needs care as well as glamour. Garland’s funeral took place on 27 June 1969, the day before the Stonewall uprising began. The timing doesn’t prove that grief caused the uprising; placing police harassment and the people who resisted it at the centre gives a more responsible account. </w:t>
      </w:r>
      <w:hyperlink r:id="rId13">
        <w:r>
          <w:rPr>
            <w:color w:val="0000EE"/>
            <w:u w:val="single"/>
          </w:rPr>
          <w:t>[6]</w:t>
        </w:r>
      </w:hyperlink>
      <w:r/>
    </w:p>
    <w:p>
      <w:r/>
      <w:r>
        <w:t xml:space="preserve">Garland’s cultural importance doesn’t need a neat origin story to matter. The Library of Congress preserves her 1939 recording of “Over the Rainbow” in the National Recording Registry, a reminder of how a song can outgrow its original moment and gather fresh meaning for listeners. </w:t>
      </w:r>
      <w:hyperlink r:id="rId14">
        <w:r>
          <w:rPr>
            <w:color w:val="0000EE"/>
            <w:u w:val="single"/>
          </w:rPr>
          <w:t>[5]</w:t>
        </w:r>
      </w:hyperlink>
      <w:r/>
    </w:p>
    <w:p>
      <w:pPr>
        <w:pStyle w:val="Heading2"/>
      </w:pPr>
      <w:r>
        <w:t>Build your own gay icon playlist</w:t>
      </w:r>
      <w:r/>
    </w:p>
    <w:p>
      <w:r/>
      <w:r>
        <w:t xml:space="preserve">The familiar starting points are there for a reason: Judy Garland’s “Over the Rainbow”, Diana Ross’s “I’m Coming Out”, Madonna’s “Vogue”, Cher’s “Believe” and Lady Gaga’s “Born This Way” all offer different routes into pop history. But a playlist isn’t an entrance exam. Add the songs your friends know by heart, and the performers who make you feel most like yourself. </w:t>
      </w:r>
      <w:hyperlink r:id="rId9">
        <w:r>
          <w:rPr>
            <w:color w:val="0000EE"/>
            <w:u w:val="single"/>
          </w:rPr>
          <w:t>[2]</w:t>
        </w:r>
      </w:hyperlink>
      <w:r/>
    </w:p>
    <w:p>
      <w:r/>
      <w:r>
        <w:t xml:space="preserve">And queer audiences aren’t one crowd with one taste. The traditions of diva fandom include gay men, lesbians, bisexual people, trans people and fans with many other identities. Some are drawn to camp, some to activism, some to a voice that fills a room; often, it’s a little of everything. </w:t>
      </w:r>
      <w:hyperlink r:id="rId9">
        <w:r>
          <w:rPr>
            <w:color w:val="0000EE"/>
            <w:u w:val="single"/>
          </w:rPr>
          <w:t>[2]</w:t>
        </w:r>
      </w:hyperlink>
      <w:r/>
    </w:p>
    <w:p>
      <w:pPr>
        <w:pStyle w:val="Heading2"/>
      </w:pPr>
      <w:r>
        <w:t>A shared chorus, without a membership test</w:t>
      </w:r>
      <w:r/>
    </w:p>
    <w:p>
      <w:r/>
      <w:r>
        <w:t xml:space="preserve">The best gay icon isn’t necessarily the biggest star or the loudest activist. It might be the performer whose song finds you at the right moment, or the one whose comeback makes you grin. </w:t>
      </w:r>
      <w:hyperlink r:id="rId9">
        <w:r>
          <w:rPr>
            <w:color w:val="0000EE"/>
            <w:u w:val="single"/>
          </w:rPr>
          <w:t>[2]</w:t>
        </w:r>
      </w:hyperlink>
      <w:r/>
    </w:p>
    <w:p>
      <w:r/>
      <w:r>
        <w:t>Start with a favourite chorus, then follow the music wherever it takes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2">
        <w:r>
          <w:rPr>
            <w:color w:val="0000EE"/>
            <w:u w:val="single"/>
          </w:rPr>
          <w:t>[7]</w:t>
        </w:r>
      </w:hyperlink>
      <w:r>
        <w:t xml:space="preserve">- Paragraph 9: </w:t>
      </w:r>
      <w:hyperlink r:id="rId13">
        <w:r>
          <w:rPr>
            <w:color w:val="0000EE"/>
            <w:u w:val="single"/>
          </w:rPr>
          <w:t>[6]</w:t>
        </w:r>
      </w:hyperlink>
      <w:r>
        <w:t xml:space="preserve">- Paragraph 10: </w:t>
      </w:r>
      <w:hyperlink r:id="rId14">
        <w:r>
          <w:rPr>
            <w:color w:val="0000EE"/>
            <w:u w:val="single"/>
          </w:rPr>
          <w:t>[5]</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https://gayety.com/gay-icons</w:t>
        </w:r>
      </w:hyperlink>
      <w:r>
        <w:t xml:space="preserve"> - Please view link - unable to able to access data</w:t>
      </w:r>
      <w:r/>
    </w:p>
    <w:p>
      <w:pPr>
        <w:pStyle w:val="ListNumber"/>
        <w:spacing w:line="240" w:lineRule="auto"/>
        <w:ind w:left="720"/>
      </w:pPr>
      <w:r/>
      <w:hyperlink r:id="rId9">
        <w:r>
          <w:rPr>
            <w:color w:val="0000EE"/>
            <w:u w:val="single"/>
          </w:rPr>
          <w:t>https://gayety.com/gay-icons</w:t>
        </w:r>
      </w:hyperlink>
      <w:r>
        <w:t xml:space="preserve"> - This guide explores the history and variety of queer audiences’ affection for female performers, while stressing that there is no official test for becoming a gay icon. It discusses camp, identification, reinvention, drag, activism and disagreement as overlapping ways to understand diva fandom, rather than rules that apply to every fan. The article profiles performers including Judy Garland, Bette Davis, Cher, Diana Ross, Madonna, Lady Gaga and Chappell Roan, and lists songs often embraced as queer anthems. It also challenges the claim that Garland’s funeral caused the Stonewall uprising, distinguishing the dates from evidence of causation and foregrounding police harassment and resistance.</w:t>
      </w:r>
      <w:r/>
    </w:p>
    <w:p>
      <w:pPr>
        <w:pStyle w:val="ListNumber"/>
        <w:spacing w:line="240" w:lineRule="auto"/>
        <w:ind w:left="720"/>
      </w:pPr>
      <w:r/>
      <w:hyperlink r:id="rId10">
        <w:r>
          <w:rPr>
            <w:color w:val="0000EE"/>
            <w:u w:val="single"/>
          </w:rPr>
          <w:t>https://www.metmuseum.org/exhibitions/listings/2019/camp-notes-on-fashion</w:t>
        </w:r>
      </w:hyperlink>
      <w:r>
        <w:t xml:space="preserve"> - The Metropolitan Museum of Art’s exhibition page explains that Susan Sontag’s 1964 essay, “Notes on ‘Camp’”, provides the framework for its exploration of camp and fashion. It describes the exhibition’s themes, including irony, humour, parody, pastiche, artifice, theatricality and exaggeration. These ideas connect directly with the guide’s discussion of camp as one tradition through which audiences appreciate diva performances, costumes and gestures. The page presents camp as a sensibility explored through fashion, rather than a checklist that defines every queer fan or performer. It therefore supports the article’s emphasis on camp as a useful interpretive theme, not a qualification for icon status.</w:t>
      </w:r>
      <w:r/>
    </w:p>
    <w:p>
      <w:pPr>
        <w:pStyle w:val="ListNumber"/>
        <w:spacing w:line="240" w:lineRule="auto"/>
        <w:ind w:left="720"/>
      </w:pPr>
      <w:r/>
      <w:hyperlink r:id="rId11">
        <w:r>
          <w:rPr>
            <w:color w:val="0000EE"/>
            <w:u w:val="single"/>
          </w:rPr>
          <w:t>https://daily.jstor.org/did-a-star-is-born-make-judy-garland-a-gay-icon/</w:t>
        </w:r>
      </w:hyperlink>
      <w:r>
        <w:t xml:space="preserve"> - This JSTOR Daily article considers Judy Garland’s longstanding relationship with gay audiences, beginning with film scholar Richard Dyer’s influential analysis of gay men’s admiration for the performer. It discusses how Garland’s screen roles, star persona and performances have been interpreted in relation to camp and audience identification. The piece treats those interpretations as cultural analysis, not as a diagnosis that explains every fan’s feelings. Its account supports the guide’s point that a performance can create recognition or emotional connection without mirroring a listener’s personal circumstances. The article also places Garland within a wider history of queer engagement with Hollywood stars and popular culture.</w:t>
      </w:r>
      <w:r/>
    </w:p>
    <w:p>
      <w:pPr>
        <w:pStyle w:val="ListNumber"/>
        <w:spacing w:line="240" w:lineRule="auto"/>
        <w:ind w:left="720"/>
      </w:pPr>
      <w:r/>
      <w:hyperlink r:id="rId14">
        <w:r>
          <w:rPr>
            <w:color w:val="0000EE"/>
            <w:u w:val="single"/>
          </w:rPr>
          <w:t>https://www.loc.gov/item/prn-17-029/?loclr=ealn</w:t>
        </w:r>
      </w:hyperlink>
      <w:r>
        <w:t xml:space="preserve"> - The Library of Congress announcement describes the selection of Judy Garland’s 1939 recording of “Over the Rainbow” for the National Recording Registry. It identifies the song as a ballad from The Wizard of Oz and discusses its expression of yearning and hope. The announcement notes that Garland’s recording became a bestseller and that the song remained closely associated with her throughout her life. This source supports the guide’s factual statements about the recording’s date and preservation in the Registry, as well as its interpretation of the song’s emotional resonance. It provides historical context for Garland’s significance without asserting that every listener understands the song in the same way.</w:t>
      </w:r>
      <w:r/>
    </w:p>
    <w:p>
      <w:pPr>
        <w:pStyle w:val="ListNumber"/>
        <w:spacing w:line="240" w:lineRule="auto"/>
        <w:ind w:left="720"/>
      </w:pPr>
      <w:r/>
      <w:hyperlink r:id="rId13">
        <w:r>
          <w:rPr>
            <w:color w:val="0000EE"/>
            <w:u w:val="single"/>
          </w:rPr>
          <w:t>https://www.loc.gov/item/today-in-history/june-28/</w:t>
        </w:r>
      </w:hyperlink>
      <w:r>
        <w:t xml:space="preserve"> - The Library of Congress marks 28 June 1969 as the beginning of the Stonewall uprising, describing the confrontation between police and LGBTQ+ protesters in New York. Its account explains that police raids on gay bars and other queer spaces were part of a broader pattern, and recounts how officers entered the Stonewall Inn in the early hours of that morning. This historical source supports the guide’s emphasis on police harassment and the resistance of people at Stonewall. It also helps distinguish the uprising’s documented setting and immediate events from claims that Judy Garland’s funeral caused it merely because the dates were close.</w:t>
      </w:r>
      <w:r/>
    </w:p>
    <w:p>
      <w:pPr>
        <w:pStyle w:val="ListNumber"/>
        <w:spacing w:line="240" w:lineRule="auto"/>
        <w:ind w:left="720"/>
      </w:pPr>
      <w:r/>
      <w:hyperlink r:id="rId12">
        <w:r>
          <w:rPr>
            <w:color w:val="0000EE"/>
            <w:u w:val="single"/>
          </w:rPr>
          <w:t>https://www.amfar.org/snapshots-of-an-epidemic-an-hiv-aids-timeline/</w:t>
        </w:r>
      </w:hyperlink>
      <w:r>
        <w:t xml:space="preserve"> - amfAR’s timeline places the organisation’s formation within the early history of the HIV/AIDS epidemic. Its entry for 1985 explains that the AIDS Medical Foundation joined with Elizabeth Taylor’s National AIDS Research Foundation to form amfAR, with Taylor becoming its founding national chair. The timeline also sets this development alongside other events of the period, including the epidemic’s growing impact and the establishment of research and advocacy efforts. This source supports the guide’s account of Taylor’s involvement in founding amfAR and using her public profile in AIDS-related work. It provides institutional context for understanding celebrity advocacy during a crisis marked by stigma and loss.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gay-icons" TargetMode="External"/><Relationship Id="rId10" Type="http://schemas.openxmlformats.org/officeDocument/2006/relationships/hyperlink" Target="https://www.metmuseum.org/exhibitions/listings/2019/camp-notes-on-fashion" TargetMode="External"/><Relationship Id="rId11" Type="http://schemas.openxmlformats.org/officeDocument/2006/relationships/hyperlink" Target="https://daily.jstor.org/did-a-star-is-born-make-judy-garland-a-gay-icon/" TargetMode="External"/><Relationship Id="rId12" Type="http://schemas.openxmlformats.org/officeDocument/2006/relationships/hyperlink" Target="https://www.amfar.org/snapshots-of-an-epidemic-an-hiv-aids-timeline/" TargetMode="External"/><Relationship Id="rId13" Type="http://schemas.openxmlformats.org/officeDocument/2006/relationships/hyperlink" Target="https://www.loc.gov/item/today-in-history/june-28/" TargetMode="External"/><Relationship Id="rId14" Type="http://schemas.openxmlformats.org/officeDocument/2006/relationships/hyperlink" Target="https://www.loc.gov/item/prn-17-029/?loclr=eal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