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US Midterm Results Show No Clear Mandate on Transgender Issues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delivered mixed signals on transgender issues in the US midterms: LGBTQ candidates won notable races, while measures on women’s sports also drew strong support. The Human Rights Campaign celebrated its preferred candidates’ performances, but the wider picture is more complicated, with some Democrats taking positions that depart from the party’s usual approach.</w:t>
      </w:r>
      <w:r>
        <w:t xml:space="preserv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p>
    <w:p>
      <w:pPr>
        <w:pStyle w:val="Heading2"/>
      </w:pPr>
      <w:r>
        <w:t>Essential Takeaways</w:t>
      </w:r>
      <w:r/>
      <w:r/>
    </w:p>
    <w:p>
      <w:pPr>
        <w:pStyle w:val="ListBullet"/>
        <w:spacing w:line="240" w:lineRule="auto"/>
        <w:ind w:left="720"/>
      </w:pPr>
      <w:r/>
      <w:r>
        <w:rPr>
          <w:b/>
        </w:rPr>
        <w:t>HRC’s candidates had a strong night:</w:t>
      </w:r>
      <w:r>
        <w:t xml:space="preserve"> The organisation said its preferred candidates won key races and described the results as a victory for equality. </w:t>
      </w:r>
      <w:hyperlink r:id="rId9">
        <w:r>
          <w:rPr>
            <w:color w:val="0000EE"/>
            <w:u w:val="single"/>
          </w:rPr>
          <w:t>[2]</w:t>
        </w:r>
      </w:hyperlink>
      <w:r>
        <w:t xml:space="preserve"> </w:t>
      </w:r>
      <w:hyperlink r:id="rId10">
        <w:r>
          <w:rPr>
            <w:color w:val="0000EE"/>
            <w:u w:val="single"/>
          </w:rPr>
          <w:t>[3]</w:t>
        </w:r>
      </w:hyperlink>
      <w:r/>
    </w:p>
    <w:p>
      <w:pPr>
        <w:pStyle w:val="ListBullet"/>
        <w:spacing w:line="240" w:lineRule="auto"/>
        <w:ind w:left="720"/>
      </w:pPr>
      <w:r/>
      <w:r>
        <w:rPr>
          <w:b/>
        </w:rPr>
        <w:t>Some Democrats drew lines on sports and gender:</w:t>
      </w:r>
      <w:r>
        <w:t xml:space="preserve"> James Talarico said he opposed trans athletes competing in girls’ sports where safety or fairness was at stake. </w:t>
      </w:r>
      <w:hyperlink r:id="rId12">
        <w:r>
          <w:rPr>
            <w:color w:val="0000EE"/>
            <w:u w:val="single"/>
          </w:rPr>
          <w:t>[4]</w:t>
        </w:r>
      </w:hyperlink>
      <w:r/>
    </w:p>
    <w:p>
      <w:pPr>
        <w:pStyle w:val="ListBullet"/>
        <w:spacing w:line="240" w:lineRule="auto"/>
        <w:ind w:left="720"/>
      </w:pPr>
      <w:r/>
      <w:r>
        <w:rPr>
          <w:b/>
        </w:rPr>
        <w:t>Ballot measures also mattered:</w:t>
      </w:r>
      <w:r>
        <w:t xml:space="preserve"> Voters in Arizona and Nebraska backed restrictions on transgender athletes in women’s sports. </w:t>
      </w:r>
      <w:hyperlink r:id="rId11">
        <w:r>
          <w:rPr>
            <w:color w:val="0000EE"/>
            <w:u w:val="single"/>
          </w:rPr>
          <w:t>[5]</w:t>
        </w:r>
      </w:hyperlink>
      <w:r>
        <w:t xml:space="preserve"> </w:t>
      </w:r>
      <w:hyperlink r:id="rId13">
        <w:r>
          <w:rPr>
            <w:color w:val="0000EE"/>
            <w:u w:val="single"/>
          </w:rPr>
          <w:t>[7]</w:t>
        </w:r>
      </w:hyperlink>
      <w:r/>
    </w:p>
    <w:p>
      <w:pPr>
        <w:pStyle w:val="ListBullet"/>
        <w:spacing w:line="240" w:lineRule="auto"/>
        <w:ind w:left="720"/>
      </w:pPr>
      <w:r/>
      <w:r>
        <w:rPr>
          <w:b/>
        </w:rPr>
        <w:t>Washington’s result remained unsettled:</w:t>
      </w:r>
      <w:r>
        <w:t xml:space="preserve"> The measure there was still too close to call in early reporting. </w:t>
      </w:r>
      <w:hyperlink r:id="rId14">
        <w:r>
          <w:rPr>
            <w:color w:val="0000EE"/>
            <w:u w:val="single"/>
          </w:rPr>
          <w:t>[6]</w:t>
        </w:r>
      </w:hyperlink>
      <w:r/>
      <w:r/>
    </w:p>
    <w:p>
      <w:pPr>
        <w:pStyle w:val="Heading2"/>
      </w:pPr>
      <w:r>
        <w:t>The midterm results tell two stories</w:t>
      </w:r>
      <w:r/>
    </w:p>
    <w:p>
      <w:r/>
      <w:r>
        <w:t xml:space="preserve">The midterms produced a political picture that resists an easy slogan. LGBTQ candidates made historic gains, while voters in several states also supported ballot measures on transgender participation in women’s sports. Both developments matter, and neither cancels out the other.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w:t>
      </w:r>
      <w:hyperlink r:id="rId13">
        <w:r>
          <w:rPr>
            <w:color w:val="0000EE"/>
            <w:u w:val="single"/>
          </w:rPr>
          <w:t>[7]</w:t>
        </w:r>
      </w:hyperlink>
      <w:r/>
    </w:p>
    <w:p>
      <w:r/>
      <w:r>
        <w:t xml:space="preserve">The Human Rights Campaign said it had invested heavily in the election, supporting candidates and providing campaigns with research and advice. It framed the wins as evidence that candidates can advocate for equality and succeed at the ballot box. </w:t>
      </w:r>
      <w:hyperlink r:id="rId9">
        <w:r>
          <w:rPr>
            <w:color w:val="0000EE"/>
            <w:u w:val="single"/>
          </w:rPr>
          <w:t>[2]</w:t>
        </w:r>
      </w:hyperlink>
      <w:r>
        <w:t xml:space="preserve"> </w:t>
      </w:r>
      <w:hyperlink r:id="rId10">
        <w:r>
          <w:rPr>
            <w:color w:val="0000EE"/>
            <w:u w:val="single"/>
          </w:rPr>
          <w:t>[3]</w:t>
        </w:r>
      </w:hyperlink>
      <w:r/>
    </w:p>
    <w:p>
      <w:r/>
      <w:r>
        <w:t xml:space="preserve">That is a meaningful claim about campaign strategy, but it doesn't prove voters endorsed every position associated with the organisation. Elections bundle together candidates, local concerns and many policy questions; a win rarely comes with a neat instruction manual.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[7]</w:t>
        </w:r>
      </w:hyperlink>
      <w:r/>
    </w:p>
    <w:p>
      <w:pPr>
        <w:pStyle w:val="Heading2"/>
      </w:pPr>
      <w:r>
        <w:t>Democrats found room to differ</w:t>
      </w:r>
      <w:r/>
    </w:p>
    <w:p>
      <w:r/>
      <w:r>
        <w:t xml:space="preserve">James Talarico, who won a Texas Senate race, said he would oppose trans athletes playing in girls’ sports when he believed safety or fairness could be affected. The Texas Tribune reported that his position marked a shift from earlier comments, highlighting the political sensitivity of the issue. </w:t>
      </w:r>
      <w:hyperlink r:id="rId12">
        <w:r>
          <w:rPr>
            <w:color w:val="0000EE"/>
            <w:u w:val="single"/>
          </w:rPr>
          <w:t>[4]</w:t>
        </w:r>
      </w:hyperlink>
      <w:r/>
    </w:p>
    <w:p>
      <w:r/>
      <w:r>
        <w:t xml:space="preserve">That kind of distinction suggests some Democrats saw value in setting out a more specific position rather than simply adopting the party's broader rhetoric. It may also reflect a practical campaign calculation: voters can respond differently to questions about rights, competition and safeguarding. </w:t>
      </w:r>
      <w:hyperlink r:id="rId12">
        <w:r>
          <w:rPr>
            <w:color w:val="0000EE"/>
            <w:u w:val="single"/>
          </w:rPr>
          <w:t>[4]</w:t>
        </w:r>
      </w:hyperlink>
      <w:r>
        <w:t xml:space="preserve"> </w:t>
      </w:r>
      <w:hyperlink r:id="rId11">
        <w:r>
          <w:rPr>
            <w:color w:val="0000EE"/>
            <w:u w:val="single"/>
          </w:rPr>
          <w:t>[5]</w:t>
        </w:r>
      </w:hyperlink>
      <w:r/>
    </w:p>
    <w:p>
      <w:r/>
      <w:r>
        <w:t xml:space="preserve">Still, one candidate's stance can't stand in for every Democrat or every voter. The more useful takeaway is that candidates can win while taking positions that don't fit neatly into the labels their opponents or supporters might prefer. </w:t>
      </w:r>
      <w:hyperlink r:id="rId10">
        <w:r>
          <w:rPr>
            <w:color w:val="0000EE"/>
            <w:u w:val="single"/>
          </w:rPr>
          <w:t>[3]</w:t>
        </w:r>
      </w:hyperlink>
      <w:r>
        <w:t xml:space="preserve"> </w:t>
      </w:r>
      <w:hyperlink r:id="rId12">
        <w:r>
          <w:rPr>
            <w:color w:val="0000EE"/>
            <w:u w:val="single"/>
          </w:rPr>
          <w:t>[4]</w:t>
        </w:r>
      </w:hyperlink>
      <w:r/>
    </w:p>
    <w:p>
      <w:pPr>
        <w:pStyle w:val="Heading2"/>
      </w:pPr>
      <w:r>
        <w:t>Ballot measures add another layer</w:t>
      </w:r>
      <w:r/>
    </w:p>
    <w:p>
      <w:r/>
      <w:r>
        <w:t xml:space="preserve">Arizona voters approved a measure covering transgender participation in women’s sports and privacy in bathrooms and locker rooms, according to the election account in the lead report. Nebraska voters also backed a sports-related measure, while early results in Washington remained too close to call. </w:t>
      </w:r>
      <w:hyperlink r:id="rId11">
        <w:r>
          <w:rPr>
            <w:color w:val="0000EE"/>
            <w:u w:val="single"/>
          </w:rPr>
          <w:t>[5]</w:t>
        </w:r>
      </w:hyperlink>
      <w:r>
        <w:t xml:space="preserve"> </w:t>
      </w:r>
      <w:hyperlink r:id="rId14">
        <w:r>
          <w:rPr>
            <w:color w:val="0000EE"/>
            <w:u w:val="single"/>
          </w:rPr>
          <w:t>[6]</w:t>
        </w:r>
      </w:hyperlink>
      <w:r>
        <w:t xml:space="preserve"> </w:t>
      </w:r>
      <w:hyperlink r:id="rId13">
        <w:r>
          <w:rPr>
            <w:color w:val="0000EE"/>
            <w:u w:val="single"/>
          </w:rPr>
          <w:t>[7]</w:t>
        </w:r>
      </w:hyperlink>
      <w:r/>
    </w:p>
    <w:p>
      <w:r/>
      <w:r>
        <w:t xml:space="preserve">Those results deserve attention alongside candidate victories, not as a footnote to them. Ballot questions give voters a direct choice on a particular policy, whereas a candidate's victory reflects a much wider mix of priorities. </w:t>
      </w:r>
      <w:hyperlink r:id="rId11">
        <w:r>
          <w:rPr>
            <w:color w:val="0000EE"/>
            <w:u w:val="single"/>
          </w:rPr>
          <w:t>[5]</w:t>
        </w:r>
      </w:hyperlink>
      <w:r>
        <w:t xml:space="preserve"> </w:t>
      </w:r>
      <w:hyperlink r:id="rId13">
        <w:r>
          <w:rPr>
            <w:color w:val="0000EE"/>
            <w:u w:val="single"/>
          </w:rPr>
          <w:t>[7]</w:t>
        </w:r>
      </w:hyperlink>
      <w:r/>
    </w:p>
    <w:p>
      <w:r/>
      <w:r>
        <w:t xml:space="preserve">For readers trying to make sense of the headlines, check both the final vote count and the precise wording of each measure. Early returns can change, and similarly themed proposals may cover different rules or circumstances. </w:t>
      </w:r>
      <w:hyperlink r:id="rId11">
        <w:r>
          <w:rPr>
            <w:color w:val="0000EE"/>
            <w:u w:val="single"/>
          </w:rPr>
          <w:t>[5]</w:t>
        </w:r>
      </w:hyperlink>
      <w:r>
        <w:t xml:space="preserve"> </w:t>
      </w:r>
      <w:hyperlink r:id="rId14">
        <w:r>
          <w:rPr>
            <w:color w:val="0000EE"/>
            <w:u w:val="single"/>
          </w:rPr>
          <w:t>[6]</w:t>
        </w:r>
      </w:hyperlink>
      <w:r>
        <w:t xml:space="preserve"> </w:t>
      </w:r>
      <w:hyperlink r:id="rId13">
        <w:r>
          <w:rPr>
            <w:color w:val="0000EE"/>
            <w:u w:val="single"/>
          </w:rPr>
          <w:t>[7]</w:t>
        </w:r>
      </w:hyperlink>
      <w:r/>
    </w:p>
    <w:p>
      <w:pPr>
        <w:pStyle w:val="Heading2"/>
      </w:pPr>
      <w:r>
        <w:t>What the HRC results can - and can't - show</w:t>
      </w:r>
      <w:r/>
    </w:p>
    <w:p>
      <w:r/>
      <w:r>
        <w:t xml:space="preserve">The HRC's election report gives a useful view of the candidates and campaigns it backed, while its post-election statement sets out the organisation's interpretation of the results. Those are valuable perspectives, but they're not the same thing as a nationwide poll on transgender policy. </w:t>
      </w:r>
      <w:hyperlink r:id="rId9">
        <w:r>
          <w:rPr>
            <w:color w:val="0000EE"/>
            <w:u w:val="single"/>
          </w:rPr>
          <w:t>[2]</w:t>
        </w:r>
      </w:hyperlink>
      <w:r>
        <w:t xml:space="preserve"> </w:t>
      </w:r>
      <w:hyperlink r:id="rId10">
        <w:r>
          <w:rPr>
            <w:color w:val="0000EE"/>
            <w:u w:val="single"/>
          </w:rPr>
          <w:t>[3]</w:t>
        </w:r>
      </w:hyperlink>
      <w:r/>
    </w:p>
    <w:p>
      <w:r/>
      <w:r>
        <w:t xml:space="preserve">Taken together, the results point to a more complicated political landscape than either side's victory lap suggests. LGBTQ candidates won elections, and voters in some states supported restrictions on transgender athletes; both facts can be true at once.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w:t>
      </w:r>
      <w:hyperlink r:id="rId13">
        <w:r>
          <w:rPr>
            <w:color w:val="0000EE"/>
            <w:u w:val="single"/>
          </w:rPr>
          <w:t>[7]</w:t>
        </w:r>
      </w:hyperlink>
      <w:r/>
    </w:p>
    <w:p>
      <w:r/>
      <w:r>
        <w:t xml:space="preserve">The next test will be whether campaign positions harden into policy, or continue to shift as candidates respond to local concerns. For now, the midterms look less like a sweeping mandate than a reminder that voters can hold several views at once. </w:t>
      </w:r>
      <w:hyperlink r:id="rId10">
        <w:r>
          <w:rPr>
            <w:color w:val="0000EE"/>
            <w:u w:val="single"/>
          </w:rPr>
          <w:t>[3]</w:t>
        </w:r>
      </w:hyperlink>
      <w:r>
        <w:t xml:space="preserve"> </w:t>
      </w:r>
      <w:hyperlink r:id="rId12">
        <w:r>
          <w:rPr>
            <w:color w:val="0000EE"/>
            <w:u w:val="single"/>
          </w:rPr>
          <w:t>[4]</w:t>
        </w:r>
      </w:hyperlink>
      <w:r>
        <w:t xml:space="preserve"> </w:t>
      </w:r>
      <w:hyperlink r:id="rId13">
        <w:r>
          <w:rPr>
            <w:color w:val="0000EE"/>
            <w:u w:val="single"/>
          </w:rPr>
          <w:t>[7]</w:t>
        </w:r>
      </w:hyperlink>
      <w:r/>
    </w:p>
    <w:p>
      <w:r/>
      <w:r>
        <w:t>It's worth reading the candidate results and ballot measures separately before drawing a bigger conclusion.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[7]</w:t>
        </w:r>
      </w:hyperlink>
      <w:r>
        <w:t xml:space="preserve">- Paragraph 7: </w:t>
      </w:r>
      <w:hyperlink r:id="rId12">
        <w:r>
          <w:rPr>
            <w:color w:val="0000EE"/>
            <w:u w:val="single"/>
          </w:rPr>
          <w:t>[4]</w:t>
        </w:r>
      </w:hyperlink>
      <w:r>
        <w:t xml:space="preserve">- Paragraph 8: </w:t>
      </w:r>
      <w:hyperlink r:id="rId12">
        <w:r>
          <w:rPr>
            <w:color w:val="0000EE"/>
            <w:u w:val="single"/>
          </w:rPr>
          <w:t>[4]</w:t>
        </w:r>
      </w:hyperlink>
      <w:r>
        <w:t xml:space="preserve">, </w:t>
      </w:r>
      <w:hyperlink r:id="rId11">
        <w:r>
          <w:rPr>
            <w:color w:val="0000EE"/>
            <w:u w:val="single"/>
          </w:rPr>
          <w:t>[5]</w:t>
        </w:r>
      </w:hyperlink>
      <w:r>
        <w:t xml:space="preserve">- Paragraph 9: </w:t>
      </w:r>
      <w:hyperlink r:id="rId10">
        <w:r>
          <w:rPr>
            <w:color w:val="0000EE"/>
            <w:u w:val="single"/>
          </w:rPr>
          <w:t>[3]</w:t>
        </w:r>
      </w:hyperlink>
      <w:r>
        <w:t xml:space="preserve">, </w:t>
      </w:r>
      <w:hyperlink r:id="rId12">
        <w:r>
          <w:rPr>
            <w:color w:val="0000EE"/>
            <w:u w:val="single"/>
          </w:rPr>
          <w:t>[4]</w:t>
        </w:r>
      </w:hyperlink>
      <w:r>
        <w:t xml:space="preserve">- Paragraph 10: </w:t>
      </w:r>
      <w:hyperlink r:id="rId11">
        <w:r>
          <w:rPr>
            <w:color w:val="0000EE"/>
            <w:u w:val="single"/>
          </w:rPr>
          <w:t>[5]</w:t>
        </w:r>
      </w:hyperlink>
      <w:r>
        <w:t xml:space="preserve">, </w:t>
      </w:r>
      <w:hyperlink r:id="rId14">
        <w:r>
          <w:rPr>
            <w:color w:val="0000EE"/>
            <w:u w:val="single"/>
          </w:rPr>
          <w:t>[6]</w:t>
        </w:r>
      </w:hyperlink>
      <w:r>
        <w:t xml:space="preserve">, </w:t>
      </w:r>
      <w:hyperlink r:id="rId13">
        <w:r>
          <w:rPr>
            <w:color w:val="0000EE"/>
            <w:u w:val="single"/>
          </w:rPr>
          <w:t>[7]</w:t>
        </w:r>
      </w:hyperlink>
      <w:r>
        <w:t xml:space="preserve">- Paragraph 11: </w:t>
      </w:r>
      <w:hyperlink r:id="rId11">
        <w:r>
          <w:rPr>
            <w:color w:val="0000EE"/>
            <w:u w:val="single"/>
          </w:rPr>
          <w:t>[5]</w:t>
        </w:r>
      </w:hyperlink>
      <w:r>
        <w:t xml:space="preserve">, </w:t>
      </w:r>
      <w:hyperlink r:id="rId13">
        <w:r>
          <w:rPr>
            <w:color w:val="0000EE"/>
            <w:u w:val="single"/>
          </w:rPr>
          <w:t>[7]</w:t>
        </w:r>
      </w:hyperlink>
      <w:r>
        <w:t xml:space="preserve">- Paragraph 12: </w:t>
      </w:r>
      <w:hyperlink r:id="rId11">
        <w:r>
          <w:rPr>
            <w:color w:val="0000EE"/>
            <w:u w:val="single"/>
          </w:rPr>
          <w:t>[5]</w:t>
        </w:r>
      </w:hyperlink>
      <w:r>
        <w:t xml:space="preserve">, </w:t>
      </w:r>
      <w:hyperlink r:id="rId14">
        <w:r>
          <w:rPr>
            <w:color w:val="0000EE"/>
            <w:u w:val="single"/>
          </w:rPr>
          <w:t>[6]</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w:t>
      </w:r>
      <w:hyperlink r:id="rId13">
        <w:r>
          <w:rPr>
            <w:color w:val="0000EE"/>
            <w:u w:val="single"/>
          </w:rPr>
          <w:t>[7]</w:t>
        </w:r>
      </w:hyperlink>
      <w:r>
        <w:t xml:space="preserve">- Paragraph 15: </w:t>
      </w:r>
      <w:hyperlink r:id="rId10">
        <w:r>
          <w:rPr>
            <w:color w:val="0000EE"/>
            <w:u w:val="single"/>
          </w:rPr>
          <w:t>[3]</w:t>
        </w:r>
      </w:hyperlink>
      <w:r>
        <w:t xml:space="preserve">,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https://www.dailysignal.com/2026/11/04/no-hrc-midterms-were-not-win-for-transgenderism/</w:t>
        </w:r>
      </w:hyperlink>
      <w:r>
        <w:t xml:space="preserve"> - Please view link - unable to able to access data</w:t>
      </w:r>
      <w:r/>
    </w:p>
    <w:p>
      <w:pPr>
        <w:pStyle w:val="ListNumber"/>
        <w:spacing w:line="240" w:lineRule="auto"/>
        <w:ind w:left="720"/>
      </w:pPr>
      <w:r/>
      <w:hyperlink r:id="rId9">
        <w:r>
          <w:rPr>
            <w:color w:val="0000EE"/>
            <w:u w:val="single"/>
          </w:rPr>
          <w:t>https://www.hrc.org/press-releases/hrc-on-midterm-election-results-equality-wins</w:t>
        </w:r>
      </w:hyperlink>
      <w:r>
        <w:t xml:space="preserve"> - The Human Rights Campaign’s statement presents the 2026 midterm results as a victory for LGBTQ+ equality. HRC President Kelley Robinson argues that voters rejected political attacks on LGBTQ+ people and emphasises the organisation’s electoral work. The release describes HRC’s “Let’s Get Free” programme, which invested $15 million in races and voter-turnout activity, its largest midterm investment to date. It frames that spending as part of a broader effort to elect candidates supportive of LGBTQ+ rights and to mobilise voters. The statement’s account provides context for the article’s description of HRC celebrating Democratic wins and interpreting them as an endorsement of equality. It also documents HRC’s own interpretation rather than independently establishing what motivated voters or whether the election constituted a mandate on transgender-related policies. The release is therefore useful for checking the campaign’s public message, the stated scale of its investment, and Robinson’s reaction to the results. Its perspective is that of an advocacy organisation, and its language reflects its political aims. Readers comparing it with election reporting should distinguish HRC’s claims about its programme and the meaning of the results from independently reported vote totals, ballot outcomes and candidate positions.</w:t>
      </w:r>
      <w:r/>
    </w:p>
    <w:p>
      <w:pPr>
        <w:pStyle w:val="ListNumber"/>
        <w:spacing w:line="240" w:lineRule="auto"/>
        <w:ind w:left="720"/>
      </w:pPr>
      <w:r/>
      <w:hyperlink r:id="rId10">
        <w:r>
          <w:rPr>
            <w:color w:val="0000EE"/>
            <w:u w:val="single"/>
          </w:rPr>
          <w:t>https://reports.hrc.org/2026-election-report</w:t>
        </w:r>
      </w:hyperlink>
      <w:r>
        <w:t xml:space="preserve"> - The Human Rights Campaign’s 2026 election report describes the organisation’s strategy, spending and voter-mobilisation efforts during the midterm cycle. It highlights a $15 million investment and says HRC activated 74 million “Equality Voters”, a term the organisation uses for voters it considers supportive of LGBTQ+ equality. The report also outlines the organisation’s ballot-measure work, voter guides, digital outreach and resources shared with partner groups. It explains how HRC sought to influence political narratives and assist candidates facing attacks related to LGBTQ+ issues. These details support the article’s account of HRC’s activity, including the reported spending and its efforts to identify and mobilise equality voters. The report is an account published by HRC itself, so it is best read as a primary source for what the organisation says it did, how it describes its research and what goals it pursued. It does not independently demonstrate that its interventions caused particular candidates to win, or that voters endorsed every position held by HRC-endorsed candidates. Nor does its use of “Equality Voters” mean that all such voters cast ballots primarily on LGBTQ+ issues. For assessing electoral consequences, the report should be considered alongside independent election coverage and official results.</w:t>
      </w:r>
      <w:r/>
    </w:p>
    <w:p>
      <w:pPr>
        <w:pStyle w:val="ListNumber"/>
        <w:spacing w:line="240" w:lineRule="auto"/>
        <w:ind w:left="720"/>
      </w:pPr>
      <w:r/>
      <w:hyperlink r:id="rId12">
        <w:r>
          <w:rPr>
            <w:color w:val="0000EE"/>
            <w:u w:val="single"/>
          </w:rPr>
          <w:t>https://www.texastribune.org/2026/09/09/james-talarico-trans-sports-reversal-lgbtq-rights-texas-us-senate-race/</w:t>
        </w:r>
      </w:hyperlink>
      <w:r>
        <w:t xml:space="preserve"> - The Texas Tribune reports that James Talarico, then a Democratic U.S. Senate nominee, said he would oppose transgender athletes playing in girls’ sports when he believed safety or fairness was at risk. The article characterises the statement as a change from positions he had taken as a Texas state representative, where he opposed Republican restrictions on transgender student-athletes. It recounts Talarico’s explanation that earlier bills were overly broad and that he favoured amendments giving local officials a role in eligibility decisions. The report also covers his remarks that there are two sexes, contrasting them with an earlier comment about six sexes, and describes criticism from Republicans and LGBTQ+ advocates. This provides direct background for the article’s claim that Talarico shifted his public language on transgender issues in the run-up to the election. The Tribune includes the candidate’s stated reasoning as well as political reactions, making clear that the issue was contested. It does not by itself establish why Talarico changed his position or what effect the change had on voters. Its account is useful for distinguishing his earlier legislative record, his later campaign statements and the interpretation of those remarks by different political actors.</w:t>
      </w:r>
      <w:r/>
    </w:p>
    <w:p>
      <w:pPr>
        <w:pStyle w:val="ListNumber"/>
        <w:spacing w:line="240" w:lineRule="auto"/>
        <w:ind w:left="720"/>
      </w:pPr>
      <w:r/>
      <w:hyperlink r:id="rId11">
        <w:r>
          <w:rPr>
            <w:color w:val="0000EE"/>
            <w:u w:val="single"/>
          </w:rPr>
          <w:t>https://apnews.com/article/fe17112e9538f5e4ed5907f6d1f5b470</w:t>
        </w:r>
      </w:hyperlink>
      <w:r>
        <w:t xml:space="preserve"> - The Associated Press reports on state ballot measures decided during the 2026 midterm elections, including measures related to transgender athletes and other social-policy questions. Its account says Nebraska voters approved a constitutional amendment concerning transgender participation in school sports, while Arizona voters approved a measure extending school sports restrictions to private schools. The article places these contests among a wider set of ballot questions on abortion, redistricting and other topics, and notes that state measures were a significant part of the election. This reporting offers independent context for the article’s argument that the midterms included results beyond candidate victories and that some voters supported restrictions on transgender athletes. It also helps clarify the substance of the measures: the Arizona proposal concerned the reach of existing rules, while Nebraska’s amendment addressed participation in school sports. The AP story does not establish that every voter supported these measures for the same reason, nor that the results amounted to a general endorsement of a political ideology. Ballot questions are distinct from candidate races and can attract voters with different priorities. The report is useful for checking the reported outcomes and understanding the measures’ scope, while the official canvasses remain the definitive source for final vote totals.</w:t>
      </w:r>
      <w:r/>
    </w:p>
    <w:p>
      <w:pPr>
        <w:pStyle w:val="ListNumber"/>
        <w:spacing w:line="240" w:lineRule="auto"/>
        <w:ind w:left="720"/>
      </w:pPr>
      <w:r/>
      <w:hyperlink r:id="rId14">
        <w:r>
          <w:rPr>
            <w:color w:val="0000EE"/>
            <w:u w:val="single"/>
          </w:rPr>
          <w:t>https://www.axios.com/local/seattle/2026/11/04/washington-2026-i638-school-sports-transgender-election-results</w:t>
        </w:r>
      </w:hyperlink>
      <w:r>
        <w:t xml:space="preserve"> - Axios reports on Washington state Initiative 638, a ballot measure concerning transgender students’ participation in girls’ school sports. At the time of the report, initial returns showed the measure ahead, but vote counting was continuing. The article explains that the proposal would change Washington’s existing policy, which allowed transgender students to play on school teams aligned with their gender identity. Under the initiative, girls seeking to participate in girls’ sports would need a health-care provider’s statement verifying what the measure calls their biological sex. Axios describes why the result mattered: voters were deciding the issue directly in a state where Democratic lawmakers had resisted similar proposals. The report supports the article’s account that a blue-state sports measure was ahead but too close to call on Wednesday morning. It also provides important qualifications: the reported position was based on early returns, not a final certified outcome, and the measure’s requirements were more specific than a general ban. The story explains the policy change and the election-night status but does not determine why individual voters supported or opposed the initiative. Readers should distinguish preliminary results from final canvassed totals and the measure’s stated legal provisions from supporters’ or opponents’ arguments about its likely consequences.</w:t>
      </w:r>
      <w:r/>
    </w:p>
    <w:p>
      <w:pPr>
        <w:pStyle w:val="ListNumber"/>
        <w:spacing w:line="240" w:lineRule="auto"/>
        <w:ind w:left="720"/>
      </w:pPr>
      <w:r/>
      <w:hyperlink r:id="rId13">
        <w:r>
          <w:rPr>
            <w:color w:val="0000EE"/>
            <w:u w:val="single"/>
          </w:rPr>
          <w:t>https://www.investing.com/news/politics-news/factboxfrom-transgender-rights-to-a-billionaire-tax-results-of-key-midterm-ballot-measures-5000559</w:t>
        </w:r>
      </w:hyperlink>
      <w:r>
        <w:t xml:space="preserve"> - This Reuters factbox, republished by Investing.com, summarises selected ballot-measure results from the 2026 U.S. midterms. It covers measures concerning transgender girls’ and women’s participation in female sports teams in Arizona, Colorado, Nebraska and Washington, alongside other prominent ballot questions. The report says early returns showed measures in several states likely to pass and describes Arizona’s measure as extending restrictions to private schools and addressing access to bathrooms and locker rooms. It also explains that the Washington proposal would require a health-care provider to verify an athlete’s biological sex, a provision opponents said could lead to invasive checks. The factbox is relevant to the article’s account of ballot initiatives and provides a concise comparison of different states’ proposals rather than treating them as identical. It distinguishes their legal mechanisms and notes that some results were based on returns that were still developing. As a news summary, it reports outcomes and provisions but does not prove that the measures reflected voters’ views on every issue associated with transgender identity. Because this is a syndicated copy, the article is attributed to Reuters, while the page itself is hosted by Investing.com. It is useful for checking reported election-night developments and understanding how the measures differed.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c.org/press-releases/hrc-on-midterm-election-results-equality-wins" TargetMode="External"/><Relationship Id="rId10" Type="http://schemas.openxmlformats.org/officeDocument/2006/relationships/hyperlink" Target="https://reports.hrc.org/2026-election-report" TargetMode="External"/><Relationship Id="rId11" Type="http://schemas.openxmlformats.org/officeDocument/2006/relationships/hyperlink" Target="https://apnews.com/article/fe17112e9538f5e4ed5907f6d1f5b470" TargetMode="External"/><Relationship Id="rId12" Type="http://schemas.openxmlformats.org/officeDocument/2006/relationships/hyperlink" Target="https://www.texastribune.org/2026/09/09/james-talarico-trans-sports-reversal-lgbtq-rights-texas-us-senate-race/" TargetMode="External"/><Relationship Id="rId13" Type="http://schemas.openxmlformats.org/officeDocument/2006/relationships/hyperlink" Target="https://www.investing.com/news/politics-news/factboxfrom-transgender-rights-to-a-billionaire-tax-results-of-key-midterm-ballot-measures-5000559" TargetMode="External"/><Relationship Id="rId14" Type="http://schemas.openxmlformats.org/officeDocument/2006/relationships/hyperlink" Target="https://www.axios.com/local/seattle/2026/11/04/washington-2026-i638-school-sports-transgender-election-results" TargetMode="External"/><Relationship Id="rId15" Type="http://schemas.openxmlformats.org/officeDocument/2006/relationships/hyperlink" Target="https://www.dailysignal.com/2026/11/04/no-hrc-midterms-were-not-win-for-transgenderis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