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Palermo Attack Highlights Violence Against Trans Women in Argentina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filmed attack on six trans women in Buenos Aires has renewed concern about violence, impunity and the loss of protections across Argentina. Activists say the incident reflects a wider pattern, not an isolated clash, while the country’s gender identity law and Pride movement remain important parts of the fight for safety and equal treatment.</w:t>
      </w:r>
      <w:r/>
    </w:p>
    <w:p>
      <w:pPr>
        <w:pStyle w:val="Heading2"/>
      </w:pPr>
      <w:r>
        <w:t>A filmed attack has sparked fresh outrage</w:t>
      </w:r>
      <w:r/>
    </w:p>
    <w:p>
      <w:r/>
      <w:r>
        <w:t xml:space="preserve">The reported assault on six trans women in Palermo has drawn public attention after footage of the attack circulated online. La Nación and the Buenos Aires Herald reported on the incident, which María Belén Correa, founder of the Trans Memory Archive, described as an organised attack rather than a fight between two groups. </w:t>
      </w:r>
      <w:hyperlink r:id="rId9">
        <w:r>
          <w:rPr>
            <w:color w:val="0000EE"/>
            <w:u w:val="single"/>
          </w:rPr>
          <w:t>[2]</w:t>
        </w:r>
      </w:hyperlink>
      <w:r>
        <w:rPr>
          <w:b/>
        </w:rPr>
        <w:t xml:space="preserve">, </w:t>
      </w:r>
      <w:hyperlink r:id="rId10">
        <w:r>
          <w:rPr>
            <w:color w:val="0000EE"/>
            <w:u w:val="single"/>
          </w:rPr>
          <w:t>[3]</w:t>
        </w:r>
      </w:hyperlink>
      <w:r/>
    </w:p>
    <w:p>
      <w:r/>
      <w:r>
        <w:t xml:space="preserve">Correa said the women received private medical care and had not initially reported the assault themselves. She also said they were frightened and not ready to speak publicly. That response is a reminder that seeking help or making a formal complaint can feel daunting after a traumatic attack. </w:t>
      </w:r>
      <w:hyperlink r:id="rId11">
        <w:r>
          <w:rPr>
            <w:color w:val="0000EE"/>
            <w:u w:val="single"/>
          </w:rPr>
          <w:t>[1]</w:t>
        </w:r>
      </w:hyperlink>
      <w:r>
        <w:rPr>
          <w:b/>
        </w:rPr>
        <w:t xml:space="preserve">, </w:t>
      </w:r>
      <w:hyperlink r:id="rId10">
        <w:r>
          <w:rPr>
            <w:color w:val="0000EE"/>
            <w:u w:val="single"/>
          </w:rPr>
          <w:t>[3]</w:t>
        </w:r>
      </w:hyperlink>
      <w:r/>
    </w:p>
    <w:p>
      <w:pPr>
        <w:pStyle w:val="Heading2"/>
      </w:pPr>
      <w:r>
        <w:t>Activists say the violence reaches beyond Buenos Aires</w:t>
      </w:r>
      <w:r/>
    </w:p>
    <w:p>
      <w:r/>
      <w:r>
        <w:t xml:space="preserve">Correa warned against treating the Palermo incident as an isolated case or focusing only on the capital. She pointed to reports of similar violence and police persecution in northern provinces, including Salta, Formosa and Jujuy. </w:t>
      </w:r>
      <w:hyperlink r:id="rId11">
        <w:r>
          <w:rPr>
            <w:color w:val="0000EE"/>
            <w:u w:val="single"/>
          </w:rPr>
          <w:t>[1]</w:t>
        </w:r>
      </w:hyperlink>
      <w:r/>
    </w:p>
    <w:p>
      <w:r/>
      <w:r>
        <w:t xml:space="preserve">Her account connects current fears with a longer history of violence against travesti and trans people. The Trans Memory Archive preserves records of that history, helping explain why activists see the attack as part of a continuing pattern rather than a sudden exception. </w:t>
      </w:r>
      <w:hyperlink r:id="rId11">
        <w:r>
          <w:rPr>
            <w:color w:val="0000EE"/>
            <w:u w:val="single"/>
          </w:rPr>
          <w:t>[1]</w:t>
        </w:r>
      </w:hyperlink>
      <w:r>
        <w:rPr>
          <w:b/>
        </w:rPr>
        <w:t xml:space="preserve">, </w:t>
      </w:r>
      <w:hyperlink r:id="rId12">
        <w:r>
          <w:rPr>
            <w:color w:val="0000EE"/>
            <w:u w:val="single"/>
          </w:rPr>
          <w:t>[4]</w:t>
        </w:r>
      </w:hyperlink>
      <w:r/>
    </w:p>
    <w:p>
      <w:pPr>
        <w:pStyle w:val="Heading2"/>
      </w:pPr>
      <w:r>
        <w:t>Legal recognition matters, but protection must work in practice</w:t>
      </w:r>
      <w:r/>
    </w:p>
    <w:p>
      <w:r/>
      <w:r>
        <w:t xml:space="preserve">Argentina’s Gender Identity Law, Law 26,743, recognises the right to gender identity and to be treated accordingly. The legislation provides an important legal foundation, but Correa argued that protections mean little if discrimination goes unchallenged or people cannot access safety and justice. </w:t>
      </w:r>
      <w:hyperlink r:id="rId11">
        <w:r>
          <w:rPr>
            <w:color w:val="0000EE"/>
            <w:u w:val="single"/>
          </w:rPr>
          <w:t>[1]</w:t>
        </w:r>
      </w:hyperlink>
      <w:r>
        <w:rPr>
          <w:b/>
        </w:rPr>
        <w:t xml:space="preserve">, </w:t>
      </w:r>
      <w:hyperlink r:id="rId13">
        <w:r>
          <w:rPr>
            <w:color w:val="0000EE"/>
            <w:u w:val="single"/>
          </w:rPr>
          <w:t>[6]</w:t>
        </w:r>
      </w:hyperlink>
      <w:r/>
    </w:p>
    <w:p>
      <w:r/>
      <w:r>
        <w:t xml:space="preserve">She also raised concern about how crimes motivated by gender identity are classified in court. The Supreme Court’s Office of Women publishes resources on gender-related violence and justice, while Correa’s comments underline why accurate recognition and investigation matter to victims and their communities. </w:t>
      </w:r>
      <w:hyperlink r:id="rId11">
        <w:r>
          <w:rPr>
            <w:color w:val="0000EE"/>
            <w:u w:val="single"/>
          </w:rPr>
          <w:t>[1]</w:t>
        </w:r>
      </w:hyperlink>
      <w:r>
        <w:rPr>
          <w:b/>
        </w:rPr>
        <w:t xml:space="preserve">, </w:t>
      </w:r>
      <w:hyperlink r:id="rId12">
        <w:r>
          <w:rPr>
            <w:color w:val="0000EE"/>
            <w:u w:val="single"/>
          </w:rPr>
          <w:t>[4]</w:t>
        </w:r>
      </w:hyperlink>
      <w:r/>
    </w:p>
    <w:p>
      <w:pPr>
        <w:pStyle w:val="Heading2"/>
      </w:pPr>
      <w:r>
        <w:t>Why the wider climate is part of the story</w:t>
      </w:r>
      <w:r/>
    </w:p>
    <w:p>
      <w:r/>
      <w:r>
        <w:t xml:space="preserve">Correa linked the attacks to a climate of impunity and the weakening of public inclusion policies. She said the average life expectancy for trans people, which she recalled reaching 46 after the 2012 law, was falling again; she estimated it could be as low as 30 to 37. That figure was her warning, not a new official statistic. </w:t>
      </w:r>
      <w:hyperlink r:id="rId11">
        <w:r>
          <w:rPr>
            <w:color w:val="0000EE"/>
            <w:u w:val="single"/>
          </w:rPr>
          <w:t>[1]</w:t>
        </w:r>
      </w:hyperlink>
      <w:r>
        <w:rPr>
          <w:b/>
        </w:rPr>
        <w:t xml:space="preserve">, </w:t>
      </w:r>
      <w:hyperlink r:id="rId14">
        <w:r>
          <w:rPr>
            <w:color w:val="0000EE"/>
            <w:u w:val="single"/>
          </w:rPr>
          <w:t>[5]</w:t>
        </w:r>
      </w:hyperlink>
      <w:r>
        <w:rPr>
          <w:b/>
        </w:rPr>
        <w:t xml:space="preserve">, </w:t>
      </w:r>
      <w:hyperlink r:id="rId13">
        <w:r>
          <w:rPr>
            <w:color w:val="0000EE"/>
            <w:u w:val="single"/>
          </w:rPr>
          <w:t>[6]</w:t>
        </w:r>
      </w:hyperlink>
      <w:r/>
    </w:p>
    <w:p>
      <w:r/>
      <w:r>
        <w:t xml:space="preserve">The distinction matters: a law can establish rights, but it cannot by itself guarantee people’s safety, healthcare or fair treatment. Argentina’s legal framework remains relevant, yet Correa’s account raises a harder question about whether those rights are being upheld in everyday life. </w:t>
      </w:r>
      <w:hyperlink r:id="rId11">
        <w:r>
          <w:rPr>
            <w:color w:val="0000EE"/>
            <w:u w:val="single"/>
          </w:rPr>
          <w:t>[1]</w:t>
        </w:r>
      </w:hyperlink>
      <w:r>
        <w:rPr>
          <w:b/>
        </w:rPr>
        <w:t xml:space="preserve">, </w:t>
      </w:r>
      <w:hyperlink r:id="rId14">
        <w:r>
          <w:rPr>
            <w:color w:val="0000EE"/>
            <w:u w:val="single"/>
          </w:rPr>
          <w:t>[5]</w:t>
        </w:r>
      </w:hyperlink>
      <w:r>
        <w:rPr>
          <w:b/>
        </w:rPr>
        <w:t xml:space="preserve">, </w:t>
      </w:r>
      <w:hyperlink r:id="rId13">
        <w:r>
          <w:rPr>
            <w:color w:val="0000EE"/>
            <w:u w:val="single"/>
          </w:rPr>
          <w:t>[6]</w:t>
        </w:r>
      </w:hyperlink>
      <w:r/>
    </w:p>
    <w:p>
      <w:pPr>
        <w:pStyle w:val="Heading2"/>
      </w:pPr>
      <w:r>
        <w:t>Pride remains a call to defend rights</w:t>
      </w:r>
      <w:r/>
    </w:p>
    <w:p>
      <w:r/>
      <w:r>
        <w:t xml:space="preserve">Correa described the Pride March as political from its earliest days, and said it continues to be a way to defend rights and demand change. The official Pride March website offers information about the movement and its activities. </w:t>
      </w:r>
      <w:hyperlink r:id="rId11">
        <w:r>
          <w:rPr>
            <w:color w:val="0000EE"/>
            <w:u w:val="single"/>
          </w:rPr>
          <w:t>[1]</w:t>
        </w:r>
      </w:hyperlink>
      <w:r>
        <w:rPr>
          <w:b/>
        </w:rPr>
        <w:t xml:space="preserve">, </w:t>
      </w:r>
      <w:hyperlink r:id="rId15">
        <w:r>
          <w:rPr>
            <w:color w:val="0000EE"/>
            <w:u w:val="single"/>
          </w:rPr>
          <w:t>[7]</w:t>
        </w:r>
      </w:hyperlink>
      <w:r/>
    </w:p>
    <w:p>
      <w:r/>
      <w:r>
        <w:t xml:space="preserve">She also found a measure of hope in the public response to the attack, saying it suggested the community was not as alone as it had once felt. That solidarity matters, though it cannot replace protection, accountability or the justice survivors deserve. </w:t>
      </w:r>
      <w:hyperlink r:id="rId11">
        <w:r>
          <w:rPr>
            <w:color w:val="0000EE"/>
            <w:u w:val="single"/>
          </w:rPr>
          <w:t>[1]</w:t>
        </w:r>
      </w:hyperlink>
      <w:r>
        <w:rPr>
          <w:b/>
        </w:rPr>
        <w:t xml:space="preserve">, </w:t>
      </w:r>
      <w:hyperlink r:id="rId10">
        <w:r>
          <w:rPr>
            <w:color w:val="0000EE"/>
            <w:u w:val="single"/>
          </w:rPr>
          <w:t>[3]</w:t>
        </w:r>
      </w:hyperlink>
      <w:r>
        <w:rPr>
          <w:b/>
        </w:rPr>
        <w:t xml:space="preserve">, </w:t>
      </w:r>
      <w:hyperlink r:id="rId15">
        <w:r>
          <w:rPr>
            <w:color w:val="0000EE"/>
            <w:u w:val="single"/>
          </w:rPr>
          <w:t>[7]</w:t>
        </w:r>
      </w:hyperlink>
      <w:r/>
    </w:p>
    <w:p>
      <w:r/>
      <w:r>
        <w:t>Safety and equal treatment depend on turning public concern into lasting action.</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[1]</w:t>
        </w:r>
      </w:hyperlink>
      <w:r>
        <w:t xml:space="preserve">, </w:t>
      </w:r>
      <w:hyperlink r:id="rId10">
        <w:r>
          <w:rPr>
            <w:color w:val="0000EE"/>
            <w:u w:val="single"/>
          </w:rPr>
          <w:t>[3]</w:t>
        </w:r>
      </w:hyperlink>
      <w:r>
        <w:t xml:space="preserve">- Paragraph 3: </w:t>
      </w:r>
      <w:hyperlink r:id="rId11">
        <w:r>
          <w:rPr>
            <w:color w:val="0000EE"/>
            <w:u w:val="single"/>
          </w:rPr>
          <w:t>[1]</w:t>
        </w:r>
      </w:hyperlink>
      <w:r>
        <w:t xml:space="preserve">- Paragraph 4: </w:t>
      </w:r>
      <w:hyperlink r:id="rId11">
        <w:r>
          <w:rPr>
            <w:color w:val="0000EE"/>
            <w:u w:val="single"/>
          </w:rPr>
          <w:t>[1]</w:t>
        </w:r>
      </w:hyperlink>
      <w:r>
        <w:t xml:space="preserve">, </w:t>
      </w:r>
      <w:hyperlink r:id="rId12">
        <w:r>
          <w:rPr>
            <w:color w:val="0000EE"/>
            <w:u w:val="single"/>
          </w:rPr>
          <w:t>[4]</w:t>
        </w:r>
      </w:hyperlink>
      <w:r>
        <w:t xml:space="preserve">- Paragraph 5: </w:t>
      </w:r>
      <w:hyperlink r:id="rId11">
        <w:r>
          <w:rPr>
            <w:color w:val="0000EE"/>
            <w:u w:val="single"/>
          </w:rPr>
          <w:t>[1]</w:t>
        </w:r>
      </w:hyperlink>
      <w:r>
        <w:t xml:space="preserve">, </w:t>
      </w:r>
      <w:hyperlink r:id="rId13">
        <w:r>
          <w:rPr>
            <w:color w:val="0000EE"/>
            <w:u w:val="single"/>
          </w:rPr>
          <w:t>[6]</w:t>
        </w:r>
      </w:hyperlink>
      <w:r>
        <w:t xml:space="preserve">- Paragraph 6: </w:t>
      </w:r>
      <w:hyperlink r:id="rId11">
        <w:r>
          <w:rPr>
            <w:color w:val="0000EE"/>
            <w:u w:val="single"/>
          </w:rPr>
          <w:t>[1]</w:t>
        </w:r>
      </w:hyperlink>
      <w:r>
        <w:t xml:space="preserve">, </w:t>
      </w:r>
      <w:hyperlink r:id="rId12">
        <w:r>
          <w:rPr>
            <w:color w:val="0000EE"/>
            <w:u w:val="single"/>
          </w:rPr>
          <w:t>[4]</w:t>
        </w:r>
      </w:hyperlink>
      <w:r>
        <w:t xml:space="preserve">- Paragraph 7: </w:t>
      </w:r>
      <w:hyperlink r:id="rId11">
        <w:r>
          <w:rPr>
            <w:color w:val="0000EE"/>
            <w:u w:val="single"/>
          </w:rPr>
          <w:t>[1]</w:t>
        </w:r>
      </w:hyperlink>
      <w:r>
        <w:t xml:space="preserve">, </w:t>
      </w:r>
      <w:hyperlink r:id="rId14">
        <w:r>
          <w:rPr>
            <w:color w:val="0000EE"/>
            <w:u w:val="single"/>
          </w:rPr>
          <w:t>[5]</w:t>
        </w:r>
      </w:hyperlink>
      <w:r>
        <w:t xml:space="preserve">, </w:t>
      </w:r>
      <w:hyperlink r:id="rId13">
        <w:r>
          <w:rPr>
            <w:color w:val="0000EE"/>
            <w:u w:val="single"/>
          </w:rPr>
          <w:t>[6]</w:t>
        </w:r>
      </w:hyperlink>
      <w:r>
        <w:t xml:space="preserve">- Paragraph 8: </w:t>
      </w:r>
      <w:hyperlink r:id="rId11">
        <w:r>
          <w:rPr>
            <w:color w:val="0000EE"/>
            <w:u w:val="single"/>
          </w:rPr>
          <w:t>[1]</w:t>
        </w:r>
      </w:hyperlink>
      <w:r>
        <w:t xml:space="preserve">, </w:t>
      </w:r>
      <w:hyperlink r:id="rId14">
        <w:r>
          <w:rPr>
            <w:color w:val="0000EE"/>
            <w:u w:val="single"/>
          </w:rPr>
          <w:t>[5]</w:t>
        </w:r>
      </w:hyperlink>
      <w:r>
        <w:t xml:space="preserve">, </w:t>
      </w:r>
      <w:hyperlink r:id="rId13">
        <w:r>
          <w:rPr>
            <w:color w:val="0000EE"/>
            <w:u w:val="single"/>
          </w:rPr>
          <w:t>[6]</w:t>
        </w:r>
      </w:hyperlink>
      <w:r>
        <w:t xml:space="preserve">- Paragraph 9: </w:t>
      </w:r>
      <w:hyperlink r:id="rId11">
        <w:r>
          <w:rPr>
            <w:color w:val="0000EE"/>
            <w:u w:val="single"/>
          </w:rPr>
          <w:t>[1]</w:t>
        </w:r>
      </w:hyperlink>
      <w:r>
        <w:t xml:space="preserve">, </w:t>
      </w:r>
      <w:hyperlink r:id="rId15">
        <w:r>
          <w:rPr>
            <w:color w:val="0000EE"/>
            <w:u w:val="single"/>
          </w:rPr>
          <w:t>[7]</w:t>
        </w:r>
      </w:hyperlink>
      <w:r>
        <w:t xml:space="preserve">- Paragraph 10: </w:t>
      </w:r>
      <w:hyperlink r:id="rId11">
        <w:r>
          <w:rPr>
            <w:color w:val="0000EE"/>
            <w:u w:val="single"/>
          </w:rPr>
          <w:t>[1]</w:t>
        </w:r>
      </w:hyperlink>
      <w:r>
        <w:t xml:space="preserve">, </w:t>
      </w:r>
      <w:hyperlink r:id="rId10">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https://perfil.com/mas-perfil/alertan-en-rdi-por-el-aumento-de-la-violencia-contra-las-personas-trans-en-este-ano-ya-van-9-companeras-asesinadas-aPGpk3T4rtUl</w:t>
        </w:r>
      </w:hyperlink>
      <w:r>
        <w:t xml:space="preserve"> - Please view link - unable to able to access data</w:t>
      </w:r>
      <w:r/>
    </w:p>
    <w:p>
      <w:pPr>
        <w:pStyle w:val="ListNumber"/>
        <w:spacing w:line="240" w:lineRule="auto"/>
        <w:ind w:left="720"/>
      </w:pPr>
      <w:r/>
      <w:hyperlink r:id="rId9">
        <w:r>
          <w:rPr>
            <w:color w:val="0000EE"/>
            <w:u w:val="single"/>
          </w:rPr>
          <w:t>https://www.lanacion.com.ar/sociedad/jovenes-ciclistas-atacaron-a-mujeres-trans-en-los-bosques-de-palermo-las-agredieron-y-lo-filmaron-nid03112026/</w:t>
        </w:r>
      </w:hyperlink>
      <w:r>
        <w:t xml:space="preserve"> - This report describes a coordinated assault on trans women in Buenos Aires’s Bosques de Palermo, filmed and shared online by the attackers. At least six women were reportedly injured, and one lost part of an ear. LGBT representatives said the victims were attacked with sticks, stones, bottles and traffic cones, and were preparing a criminal complaint. The article relays an activist’s estimate that between 50 and 60 young people took part, and reports that the attack may have been planned in advance. It also notes the approaching Pride March, scheduled for 7 November, and details the investigation and public responses to the violence.</w:t>
      </w:r>
      <w:r/>
    </w:p>
    <w:p>
      <w:pPr>
        <w:pStyle w:val="ListNumber"/>
        <w:spacing w:line="240" w:lineRule="auto"/>
        <w:ind w:left="720"/>
      </w:pPr>
      <w:r/>
      <w:hyperlink r:id="rId10">
        <w:r>
          <w:rPr>
            <w:color w:val="0000EE"/>
            <w:u w:val="single"/>
          </w:rPr>
          <w:t>https://buenosairesherald.com/society/it-was-a-hunt-outrage-over-an-attack-on-trans-women-in-palermo</w:t>
        </w:r>
      </w:hyperlink>
      <w:r>
        <w:t xml:space="preserve"> - The Buenos Aires Herald reports on footage showing men pursuing, insulting and striking trans women in Palermo, using sticks, bottles and traffic cones. The attackers circulated the recordings and taunted the victims online. Local accounts described an initial confrontation followed by the return of a larger group. At least six women were reportedly injured, and the city’s LGBT federation called the assault an organised “hunt”, amid warnings about rising hate crimes. The article records condemnations from politicians, organisations and musicians, as well as the city mayor’s promise of an investigation. It also connects the incident to the forthcoming Pride March and broader concerns about hate speech.</w:t>
      </w:r>
      <w:r/>
    </w:p>
    <w:p>
      <w:pPr>
        <w:pStyle w:val="ListNumber"/>
        <w:spacing w:line="240" w:lineRule="auto"/>
        <w:ind w:left="720"/>
      </w:pPr>
      <w:r/>
      <w:hyperlink r:id="rId12">
        <w:r>
          <w:rPr>
            <w:color w:val="0000EE"/>
            <w:u w:val="single"/>
          </w:rPr>
          <w:t>https://www.csjn.gov.ar/om/verNoticia?idNoticia=11724</w:t>
        </w:r>
      </w:hyperlink>
      <w:r>
        <w:t xml:space="preserve"> - Argentina’s Supreme Court Office for Women presents national figures on travesticides and transfemicides recorded between 2016 and 2024. It reports 52 victims over the period, averaging at least 5.8 cases annually, with eight victims in 2024. The source describes victims’ ages, nationality and circumstances, and notes that gender-identity hatred was identified in at least 53 per cent of cases. It also reports that 34 per cent of registered perpetrators had been convicted by the reporting cut-off. The figures are based on judicial records and cross-checking, but the Office cautions that they are not exhaustive. The data provides context on violence and its limited judicial accountability.</w:t>
      </w:r>
      <w:r/>
    </w:p>
    <w:p>
      <w:pPr>
        <w:pStyle w:val="ListNumber"/>
        <w:spacing w:line="240" w:lineRule="auto"/>
        <w:ind w:left="720"/>
      </w:pPr>
      <w:r/>
      <w:hyperlink r:id="rId14">
        <w:r>
          <w:rPr>
            <w:color w:val="0000EE"/>
            <w:u w:val="single"/>
          </w:rPr>
          <w:t>https://www.argentina.gob.ar/normativa/nacional/norma-339696/texto</w:t>
        </w:r>
      </w:hyperlink>
      <w:r>
        <w:t xml:space="preserve"> - This Argentine government resolution sets out a programme intended to assist travesti, transsexual and transgender people facing rights violations. Its rationale describes discrimination, criminalisation, exclusion and barriers to healthcare, education, employment and justice. Citing earlier survey data, it notes limited access to health cover and widespread informal work, and estimates life expectancy for trans people in Argentina at approximately 35 to 40 years. The resolution proposes coordinated support across national, provincial and municipal institutions, including help with healthcare, education, housing and employment. It offers official context for the article’s discussion of structural vulnerability, public policy and the effects of persistent violence and exclusion.</w:t>
      </w:r>
      <w:r/>
    </w:p>
    <w:p>
      <w:pPr>
        <w:pStyle w:val="ListNumber"/>
        <w:spacing w:line="240" w:lineRule="auto"/>
        <w:ind w:left="720"/>
      </w:pPr>
      <w:r/>
      <w:hyperlink r:id="rId13">
        <w:r>
          <w:rPr>
            <w:color w:val="0000EE"/>
            <w:u w:val="single"/>
          </w:rPr>
          <w:t>https://www.argentina.gob.ar/normativa/nacional/ley-26743-197860/actualizacion</w:t>
        </w:r>
      </w:hyperlink>
      <w:r>
        <w:t xml:space="preserve"> - This is the updated official text of Argentina’s Gender Identity Law, Law 26,743. It establishes legal recognition of a person’s self-perceived gender identity and provides for changes to registered name, sex and image in identity documents. The law also sets out rights to respectful treatment and access to healthcare related to gender identity, without requiring judicial or medical authorisation for the relevant procedures. It is pertinent to the article’s references to the protections introduced by the legislation and concerns that people may face when others refuse to respect those rights. The page is a primary legal source, rather than commentary or a report on current implementation.</w:t>
      </w:r>
      <w:r/>
    </w:p>
    <w:p>
      <w:pPr>
        <w:pStyle w:val="ListNumber"/>
        <w:spacing w:line="240" w:lineRule="auto"/>
        <w:ind w:left="720"/>
      </w:pPr>
      <w:r/>
      <w:hyperlink r:id="rId15">
        <w:r>
          <w:rPr>
            <w:color w:val="0000EE"/>
            <w:u w:val="single"/>
          </w:rPr>
          <w:t>https://marchadelorgullo.org.ar/</w:t>
        </w:r>
      </w:hyperlink>
      <w:r>
        <w:t xml:space="preserve"> - The official website of Argentina’s Pride March organisers provides information about the movement and its public activities. Its event listing gives 7 November as the date for the march, supporting the article’s reference to the planned mobilisation. The site represents the organisers’ own communications, rather than independent reporting, and can be used to check the event information directly. In the context of the article, the march is presented as a political demonstration for defending and advancing rights, as well as an opportunity for collective visibility and solidarity. The website is therefore relevant to the article’s closing discussion of protest as a response to violence and 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nacion.com.ar/sociedad/jovenes-ciclistas-atacaron-a-mujeres-trans-en-los-bosques-de-palermo-las-agredieron-y-lo-filmaron-nid03112026/" TargetMode="External"/><Relationship Id="rId10" Type="http://schemas.openxmlformats.org/officeDocument/2006/relationships/hyperlink" Target="https://buenosairesherald.com/society/it-was-a-hunt-outrage-over-an-attack-on-trans-women-in-palermo" TargetMode="External"/><Relationship Id="rId11" Type="http://schemas.openxmlformats.org/officeDocument/2006/relationships/hyperlink" Target="https://perfil.com/mas-perfil/alertan-en-rdi-por-el-aumento-de-la-violencia-contra-las-personas-trans-en-este-ano-ya-van-9-companeras-asesinadas-aPGpk3T4rtUl" TargetMode="External"/><Relationship Id="rId12" Type="http://schemas.openxmlformats.org/officeDocument/2006/relationships/hyperlink" Target="https://www.csjn.gov.ar/om/verNoticia?idNoticia=11724" TargetMode="External"/><Relationship Id="rId13" Type="http://schemas.openxmlformats.org/officeDocument/2006/relationships/hyperlink" Target="https://www.argentina.gob.ar/normativa/nacional/ley-26743-197860/actualizacion" TargetMode="External"/><Relationship Id="rId14" Type="http://schemas.openxmlformats.org/officeDocument/2006/relationships/hyperlink" Target="https://www.argentina.gob.ar/normativa/nacional/norma-339696/texto" TargetMode="External"/><Relationship Id="rId15" Type="http://schemas.openxmlformats.org/officeDocument/2006/relationships/hyperlink" Target="https://marchadelorgullo.org.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