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Ohio HB693 and LGBTQ+ Foster Care: What the Bill Could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proposed Ohio child welfare bill would limit when some state-funded workers can ask about a young person’s sexual orientation or gender identity. For LGBTQ+ children in foster care, that could make it harder to explain what’s happening at home and for workers to assess their safety. Here’s what HB693 proposes, why supporters say it matters, and what’s at stake.</w:t>
      </w:r>
      <w:r/>
    </w:p>
    <w:p>
      <w:pPr>
        <w:pStyle w:val="Heading2"/>
      </w:pPr>
      <w:r>
        <w:t>Essential Takeaways</w:t>
      </w:r>
      <w:r/>
      <w:r/>
    </w:p>
    <w:p>
      <w:pPr>
        <w:pStyle w:val="ListBullet"/>
        <w:spacing w:line="240" w:lineRule="auto"/>
        <w:ind w:left="720"/>
      </w:pPr>
      <w:r/>
      <w:r>
        <w:rPr>
          <w:b/>
        </w:rPr>
        <w:t>Questions could require permission:</w:t>
      </w:r>
      <w:r>
        <w:t xml:space="preserve"> HB693 would generally require written permission from a parent, guardian or legal custodian, or a court order, before covered workers ask about a child’s understanding of their sexual orientation or gender identity.</w:t>
      </w:r>
      <w:r/>
    </w:p>
    <w:p>
      <w:pPr>
        <w:pStyle w:val="ListBullet"/>
        <w:spacing w:line="240" w:lineRule="auto"/>
        <w:ind w:left="720"/>
      </w:pPr>
      <w:r/>
      <w:r>
        <w:rPr>
          <w:b/>
        </w:rPr>
        <w:t>Some caregiver conduct would be excluded:</w:t>
      </w:r>
      <w:r>
        <w:t xml:space="preserve"> The bill would prevent specified conduct, including using a child’s legal name and declining certain pronouns, from being treated as abuse, neglect or evidence of an unsafe home.</w:t>
      </w:r>
      <w:r/>
    </w:p>
    <w:p>
      <w:pPr>
        <w:pStyle w:val="ListBullet"/>
        <w:spacing w:line="240" w:lineRule="auto"/>
        <w:ind w:left="720"/>
      </w:pPr>
      <w:r/>
      <w:r>
        <w:rPr>
          <w:b/>
        </w:rPr>
        <w:t>Training and contracts could be affected:</w:t>
      </w:r>
      <w:r>
        <w:t xml:space="preserve"> State-funded agencies and training providers would face restrictions, with possible consequences for contracts and future funding.</w:t>
      </w:r>
      <w:r/>
    </w:p>
    <w:p>
      <w:pPr>
        <w:pStyle w:val="ListBullet"/>
        <w:spacing w:line="240" w:lineRule="auto"/>
        <w:ind w:left="720"/>
      </w:pPr>
      <w:r/>
      <w:r>
        <w:rPr>
          <w:b/>
        </w:rPr>
        <w:t>The proposal includes legal action:</w:t>
      </w:r>
      <w:r>
        <w:t xml:space="preserve"> The bill would allow lawsuits against social workers, with courts able to award damages and legal fees.</w:t>
      </w:r>
      <w:r/>
    </w:p>
    <w:p>
      <w:pPr>
        <w:pStyle w:val="ListBullet"/>
        <w:spacing w:line="240" w:lineRule="auto"/>
        <w:ind w:left="720"/>
      </w:pPr>
      <w:r/>
      <w:r>
        <w:rPr>
          <w:b/>
        </w:rPr>
        <w:t>Young people’s experiences matter:</w:t>
      </w:r>
      <w:r>
        <w:t xml:space="preserve"> A study of young people in out-of-home care in Cuyahoga County found LGBTQ+ respondents reported less-positive treatment and less ability to be themselves in placements.</w:t>
      </w:r>
      <w:r/>
      <w:r/>
    </w:p>
    <w:p>
      <w:pPr>
        <w:pStyle w:val="Heading2"/>
      </w:pPr>
      <w:r>
        <w:t>A child’s first disclosure could be harder to follow</w:t>
      </w:r>
      <w:r/>
    </w:p>
    <w:p>
      <w:r/>
      <w:r>
        <w:t xml:space="preserve">“I don’t want to go home” is not an explanation, but it’s a warning worth taking seriously. When a young person in foster care says it, a social worker may need to ask careful follow-up questions to understand whether they’re facing conflict, rejection, bullying or a more immediate risk. HB693 could make some of those conversations more difficult when identity is part of the concern. (Sources: </w:t>
      </w:r>
      <w:hyperlink r:id="rId9">
        <w:r>
          <w:rPr>
            <w:color w:val="0000EE"/>
            <w:u w:val="single"/>
          </w:rPr>
          <w:t>[2]</w:t>
        </w:r>
      </w:hyperlink>
      <w:r>
        <w:t xml:space="preserve">, </w:t>
      </w:r>
      <w:hyperlink r:id="rId10">
        <w:r>
          <w:rPr>
            <w:color w:val="0000EE"/>
            <w:u w:val="single"/>
          </w:rPr>
          <w:t>[3]</w:t>
        </w:r>
      </w:hyperlink>
      <w:r>
        <w:t>)</w:t>
      </w:r>
      <w:r/>
    </w:p>
    <w:p>
      <w:r/>
      <w:r>
        <w:t xml:space="preserve">The bill would require covered workers acting for the state or using state funds to have written permission from a parent, guardian or legal custodian, or a court order, before asking about a child’s understanding of their sexual orientation or gender identity. A child could still volunteer information, and ordinary questions about an adult’s actions wouldn’t automatically be prohibited. The practical challenge is that those details can overlap in a real conversation. (Sources: </w:t>
      </w:r>
      <w:hyperlink r:id="rId9">
        <w:r>
          <w:rPr>
            <w:color w:val="0000EE"/>
            <w:u w:val="single"/>
          </w:rPr>
          <w:t>[2]</w:t>
        </w:r>
      </w:hyperlink>
      <w:r>
        <w:t xml:space="preserve">, </w:t>
      </w:r>
      <w:hyperlink r:id="rId10">
        <w:r>
          <w:rPr>
            <w:color w:val="0000EE"/>
            <w:u w:val="single"/>
          </w:rPr>
          <w:t>[3]</w:t>
        </w:r>
      </w:hyperlink>
      <w:r>
        <w:t>)</w:t>
      </w:r>
      <w:r/>
    </w:p>
    <w:p>
      <w:pPr>
        <w:pStyle w:val="Heading2"/>
      </w:pPr>
      <w:r>
        <w:t>What Ohio’s HB693 would change</w:t>
      </w:r>
      <w:r/>
    </w:p>
    <w:p>
      <w:r/>
      <w:r>
        <w:t xml:space="preserve">The proposed Affirming Families First Act would also define certain caregiver actions as protected from being treated as abuse, neglect, an unsafe environment or contrary to a child’s best interests. Those actions include using a child’s legal name, declining to use names or pronouns inconsistent with sex assigned at birth, and refusing consent to transition-related care. (Sources: </w:t>
      </w:r>
      <w:hyperlink r:id="rId9">
        <w:r>
          <w:rPr>
            <w:color w:val="0000EE"/>
            <w:u w:val="single"/>
          </w:rPr>
          <w:t>[2]</w:t>
        </w:r>
      </w:hyperlink>
      <w:r>
        <w:t xml:space="preserve">, </w:t>
      </w:r>
      <w:hyperlink r:id="rId10">
        <w:r>
          <w:rPr>
            <w:color w:val="0000EE"/>
            <w:u w:val="single"/>
          </w:rPr>
          <w:t>[3]</w:t>
        </w:r>
      </w:hyperlink>
      <w:r>
        <w:t>)</w:t>
      </w:r>
      <w:r/>
    </w:p>
    <w:p>
      <w:r/>
      <w:r>
        <w:t xml:space="preserve">The bill wouldn’t prevent agencies from investigating every other allegation. But it would limit investigations based solely on the specified conduct and restrict using that conduct as the basis for an investigation or removal when other allegations are involved. That distinction matters: deciding whether a child is safe often means weighing several parts of their circumstances, not examining one detail in isolation. (Sources: </w:t>
      </w:r>
      <w:hyperlink r:id="rId9">
        <w:r>
          <w:rPr>
            <w:color w:val="0000EE"/>
            <w:u w:val="single"/>
          </w:rPr>
          <w:t>[2]</w:t>
        </w:r>
      </w:hyperlink>
      <w:r>
        <w:t xml:space="preserve">, </w:t>
      </w:r>
      <w:hyperlink r:id="rId10">
        <w:r>
          <w:rPr>
            <w:color w:val="0000EE"/>
            <w:u w:val="single"/>
          </w:rPr>
          <w:t>[3]</w:t>
        </w:r>
      </w:hyperlink>
      <w:r>
        <w:t>)</w:t>
      </w:r>
      <w:r/>
    </w:p>
    <w:p>
      <w:pPr>
        <w:pStyle w:val="Heading2"/>
      </w:pPr>
      <w:r>
        <w:t>Why foster-care experiences are part of the debate</w:t>
      </w:r>
      <w:r/>
    </w:p>
    <w:p>
      <w:r/>
      <w:r>
        <w:t xml:space="preserve">A 2019 survey of 251 young people already in out-of-home care in Cuyahoga County found that LGBTQ+ respondents reported less-positive treatment and less ability to be themselves in their placements. Some young people who said their social workers didn’t know their sexual orientation described worrying about the worker’s reaction or the effect on their placement. (Sources: </w:t>
      </w:r>
      <w:hyperlink r:id="rId9">
        <w:r>
          <w:rPr>
            <w:color w:val="0000EE"/>
            <w:u w:val="single"/>
          </w:rPr>
          <w:t>[2]</w:t>
        </w:r>
      </w:hyperlink>
      <w:r>
        <w:t xml:space="preserve">, </w:t>
      </w:r>
      <w:hyperlink r:id="rId11">
        <w:r>
          <w:rPr>
            <w:color w:val="0000EE"/>
            <w:u w:val="single"/>
          </w:rPr>
          <w:t>[4]</w:t>
        </w:r>
      </w:hyperlink>
      <w:r>
        <w:t>)</w:t>
      </w:r>
      <w:r/>
    </w:p>
    <w:p>
      <w:r/>
      <w:r>
        <w:t xml:space="preserve">Those findings don’t decide whether a particular allegation is true, or whether a child should be removed from a home. They do underline why trust and open communication matter. A young person who fears consequences may need a worker to ask gently and listen without making assumptions; a rule that complicates those questions could leave important context unexplored. (Sources: </w:t>
      </w:r>
      <w:hyperlink r:id="rId9">
        <w:r>
          <w:rPr>
            <w:color w:val="0000EE"/>
            <w:u w:val="single"/>
          </w:rPr>
          <w:t>[2]</w:t>
        </w:r>
      </w:hyperlink>
      <w:r>
        <w:t xml:space="preserve">, </w:t>
      </w:r>
      <w:hyperlink r:id="rId11">
        <w:r>
          <w:rPr>
            <w:color w:val="0000EE"/>
            <w:u w:val="single"/>
          </w:rPr>
          <w:t>[4]</w:t>
        </w:r>
      </w:hyperlink>
      <w:r>
        <w:t>)</w:t>
      </w:r>
      <w:r/>
    </w:p>
    <w:p>
      <w:pPr>
        <w:pStyle w:val="Heading2"/>
      </w:pPr>
      <w:r>
        <w:t>Training, funding and lawsuits could shape practice</w:t>
      </w:r>
      <w:r/>
    </w:p>
    <w:p>
      <w:r/>
      <w:r>
        <w:t xml:space="preserve">HB693 would also restrict certain state-funded training for agencies and caregivers, including material that portrays affirming a person’s gender identity as creating an unsafe environment. The proposal provides for consequences involving contracts and eligibility for future funding when service providers breach its requirements. (Sources: </w:t>
      </w:r>
      <w:hyperlink r:id="rId9">
        <w:r>
          <w:rPr>
            <w:color w:val="0000EE"/>
            <w:u w:val="single"/>
          </w:rPr>
          <w:t>[2]</w:t>
        </w:r>
      </w:hyperlink>
      <w:r>
        <w:t xml:space="preserve">, </w:t>
      </w:r>
      <w:hyperlink r:id="rId10">
        <w:r>
          <w:rPr>
            <w:color w:val="0000EE"/>
            <w:u w:val="single"/>
          </w:rPr>
          <w:t>[3]</w:t>
        </w:r>
      </w:hyperlink>
      <w:r>
        <w:t>)</w:t>
      </w:r>
      <w:r/>
    </w:p>
    <w:p>
      <w:r/>
      <w:r>
        <w:t xml:space="preserve">The bill would allow lawsuits against social workers, with courts able to award damages and legal fees. Whatever a worker’s view of the policy, the possibility of litigation may affect how readily they seek clarification in a sensitive case. Clear guidance can help professionals act carefully; uncertainty, especially around a child’s safety, can make an already difficult conversation harder. (Sources: </w:t>
      </w:r>
      <w:hyperlink r:id="rId9">
        <w:r>
          <w:rPr>
            <w:color w:val="0000EE"/>
            <w:u w:val="single"/>
          </w:rPr>
          <w:t>[2]</w:t>
        </w:r>
      </w:hyperlink>
      <w:r>
        <w:t xml:space="preserve">, </w:t>
      </w:r>
      <w:hyperlink r:id="rId10">
        <w:r>
          <w:rPr>
            <w:color w:val="0000EE"/>
            <w:u w:val="single"/>
          </w:rPr>
          <w:t>[3]</w:t>
        </w:r>
      </w:hyperlink>
      <w:r>
        <w:t>)</w:t>
      </w:r>
      <w:r/>
    </w:p>
    <w:p>
      <w:pPr>
        <w:pStyle w:val="Heading2"/>
      </w:pPr>
      <w:r>
        <w:t>A local proposal with wider ambitions</w:t>
      </w:r>
      <w:r/>
    </w:p>
    <w:p>
      <w:r/>
      <w:r>
        <w:t xml:space="preserve">The Heritage Foundation has published model legislation focused on how child-protection systems define abuse. In testimony to an Ohio House committee, policy analyst Laura Bryant Hanford said the proposal’s passage could “set a national standard for other states”. She also said she was testifying in her personal capacity. (Sources: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w:t>
      </w:r>
      <w:r/>
    </w:p>
    <w:p>
      <w:r/>
      <w:r>
        <w:t xml:space="preserve">Supporters of bills like HB693 argue that families should be protected from state intervention over disagreements about a young person’s identity, and that removing a child from home is a serious step that needs evidence. That concern deserves careful consideration. So does the need for workers to understand a child’s circumstances before deciding whether intervention is warranted. (Sources: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[6]</w:t>
        </w:r>
      </w:hyperlink>
      <w:r>
        <w:t>)</w:t>
      </w:r>
      <w:r/>
    </w:p>
    <w:p>
      <w:r/>
      <w:r>
        <w:t xml:space="preserve">A child welfare system has to distinguish disagreement from danger, and do so with care. That takes sound standards, clear accountability and room to listen when a young person says something is wrong. (Sources: </w:t>
      </w:r>
      <w:hyperlink r:id="rId9">
        <w:r>
          <w:rPr>
            <w:color w:val="0000EE"/>
            <w:u w:val="single"/>
          </w:rPr>
          <w:t>[2]</w:t>
        </w:r>
      </w:hyperlink>
      <w:r>
        <w:t xml:space="preserve">, </w:t>
      </w:r>
      <w:hyperlink r:id="rId10">
        <w:r>
          <w:rPr>
            <w:color w:val="0000EE"/>
            <w:u w:val="single"/>
          </w:rPr>
          <w:t>[3]</w:t>
        </w:r>
      </w:hyperlink>
      <w:r>
        <w:t>)</w:t>
      </w:r>
      <w:r/>
    </w:p>
    <w:p>
      <w:pPr>
        <w:pStyle w:val="Heading2"/>
      </w:pPr>
      <w:r>
        <w:t>Closing Line</w:t>
      </w:r>
      <w:r/>
    </w:p>
    <w:p>
      <w:r/>
      <w:r>
        <w:t>For a child who’s afraid to go home, being heard can be the first step towards safety.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https://www.lgbtqnation.com/2026/11/a-bill-claiming-to-affirm-families-is-actually-designed-to-harm-lgbtq-kids/</w:t>
        </w:r>
      </w:hyperlink>
      <w:r>
        <w:t xml:space="preserve"> - Please view link - unable to able to access data</w:t>
      </w:r>
      <w:r/>
    </w:p>
    <w:p>
      <w:pPr>
        <w:pStyle w:val="ListNumber"/>
        <w:spacing w:line="240" w:lineRule="auto"/>
        <w:ind w:left="720"/>
      </w:pPr>
      <w:r/>
      <w:hyperlink r:id="rId9">
        <w:r>
          <w:rPr>
            <w:color w:val="0000EE"/>
            <w:u w:val="single"/>
          </w:rPr>
          <w:t>https://www.lgbtqnation.com/2026/11/a-bill-claiming-to-affirm-families-is-actually-designed-to-harm-lgbtq-kids/</w:t>
        </w:r>
      </w:hyperlink>
      <w:r>
        <w:t xml:space="preserve"> - This commentary argues that Ohio House Bill 693 could make it harder for child welfare workers to assess LGBTQ+ young people’s safety. It describes proposed limits on questions about sexual orientation or gender identity, caregiver conduct that agencies could not treat as abuse or neglect, and restrictions on publicly funded training. The author warns that uncertainty and potential lawsuits may discourage workers from asking questions. It cites a Cuyahoga County survey of young people in out-of-home care and connects the bill to model legislation promoted by the Heritage Foundation. The piece concludes that child protection depends on workers being able to listen and investigate concerns.</w:t>
      </w:r>
      <w:r/>
    </w:p>
    <w:p>
      <w:pPr>
        <w:pStyle w:val="ListNumber"/>
        <w:spacing w:line="240" w:lineRule="auto"/>
        <w:ind w:left="720"/>
      </w:pPr>
      <w:r/>
      <w:hyperlink r:id="rId10">
        <w:r>
          <w:rPr>
            <w:color w:val="0000EE"/>
            <w:u w:val="single"/>
          </w:rPr>
          <w:t>https://search-prod.lis.state.oh.us/api/v2/general_assembly_136/legislation/hb693/00_IN/pdf/</w:t>
        </w:r>
      </w:hyperlink>
      <w:r>
        <w:t xml:space="preserve"> - This is the introduced text of Ohio House Bill 693, titled the Affirming Families First Act. It proposes changes to Ohio law concerning child welfare, parental rights, foster care, gender identity and transition-related care. Among its provisions, the bill says that recognising or affirming a child’s sex cannot be treated as abuse, neglect, an unsafe environment or contrary to the child’s best interests. It also sets conditions for certain state-funded services and agency conduct. The document is the primary source for what the proposal says; it does not establish whether the bill has passed or how its provisions would be applied in particular cases.</w:t>
      </w:r>
      <w:r/>
    </w:p>
    <w:p>
      <w:pPr>
        <w:pStyle w:val="ListNumber"/>
        <w:spacing w:line="240" w:lineRule="auto"/>
        <w:ind w:left="720"/>
      </w:pPr>
      <w:r/>
      <w:hyperlink r:id="rId11">
        <w:r>
          <w:rPr>
            <w:color w:val="0000EE"/>
            <w:u w:val="single"/>
          </w:rPr>
          <w:t>https://pmc.ncbi.nlm.nih.gov/articles/PMC12334063/</w:t>
        </w:r>
      </w:hyperlink>
      <w:r>
        <w:t xml:space="preserve"> - This research article reports findings from a Cuyahoga County survey of 251 young people in out-of-home care, conducted in autumn 2019. It examines LGBTQ+ youths’ experiences in placements, including whether they felt able to be themselves and how they perceived treatment by carers and social workers. The findings described in the publication indicate that LGBTQ+ respondents reported less-positive experiences, while some young people whose workers did not know their sexual orientation expressed fear about reactions or possible placement consequences. The study provides context for concerns about safety and disclosure in care settings, though its survey results should be interpreted within the sample and location studied.</w:t>
      </w:r>
      <w:r/>
    </w:p>
    <w:p>
      <w:pPr>
        <w:pStyle w:val="ListNumber"/>
        <w:spacing w:line="240" w:lineRule="auto"/>
        <w:ind w:left="720"/>
      </w:pPr>
      <w:r/>
      <w:hyperlink r:id="rId12">
        <w:r>
          <w:rPr>
            <w:color w:val="0000EE"/>
            <w:u w:val="single"/>
          </w:rPr>
          <w:t>https://www.heritage.org/model-legislation/defining-abuse-child-protection-act</w:t>
        </w:r>
      </w:hyperlink>
      <w:r>
        <w:t xml:space="preserve"> - The Heritage Foundation presents the Defining Abuse Child Protection Act as model legislation on child welfare and parental rights. Its text proposes defining certain parental conduct related to a child’s sex as not constituting abuse, restricting child-protection investigations or removals based on that conduct, and affecting foster-care placement and publicly funded services. It also includes provisions concerning state contracting, reporting, conscience protections and legal action. This primary source helps verify that the organisation has drafted a model bill addressing issues similar to those raised in Ohio’s proposal. It sets out the Foundation’s policy approach; it is not an independent evaluation of the proposal’s effects.</w:t>
      </w:r>
      <w:r/>
    </w:p>
    <w:p>
      <w:pPr>
        <w:pStyle w:val="ListNumber"/>
        <w:spacing w:line="240" w:lineRule="auto"/>
        <w:ind w:left="720"/>
      </w:pPr>
      <w:r/>
      <w:hyperlink r:id="rId13">
        <w:r>
          <w:rPr>
            <w:color w:val="0000EE"/>
            <w:u w:val="single"/>
          </w:rPr>
          <w:t>https://www.heritage.org/gender/report/states-must-refuse-define-abuse-raising-child-according-his-or-her-sex</w:t>
        </w:r>
      </w:hyperlink>
      <w:r>
        <w:t xml:space="preserve"> - In this Heritage Foundation factsheet, Laura Hanford and Jay Richards argue that states should prevent child welfare agencies from treating a parent’s refusal to affirm a child’s gender identity as abuse. The authors describe concerns about investigations, custody and foster-care decisions, and recommend that states adopt the Foundation’s model Defining Abuse Child Protection Act. The report outlines proposed protections and gives the Heritage Foundation’s rationale for them. It is useful evidence of the organisation’s advocacy and the model legislation’s aims, but it presents the authors’ position rather than a neutral account or a comprehensive assessment of the claims and potential consequences.</w:t>
      </w:r>
      <w:r/>
    </w:p>
    <w:p>
      <w:pPr>
        <w:pStyle w:val="ListNumber"/>
        <w:spacing w:line="240" w:lineRule="auto"/>
        <w:ind w:left="720"/>
      </w:pPr>
      <w:r/>
      <w:hyperlink r:id="rId14">
        <w:r>
          <w:rPr>
            <w:color w:val="0000EE"/>
            <w:u w:val="single"/>
          </w:rPr>
          <w:t>https://search-prod.lis.state.oh.us/api/v2/general_assembly_136/committees/cmte_h_judiciary_1/meetings/cmte_h_judiciary_1_2026-03-25-1100_1172/testimony/16570/laurabhanford.pdf</w:t>
        </w:r>
      </w:hyperlink>
      <w:r>
        <w:t xml:space="preserve"> - This document contains Laura Bryant Hanford’s written testimony to an Ohio House committee concerning the Affirming Families First Act. Hanford identifies herself as a Heritage Foundation policy analyst and explains her support for the proposal, describing it as consistent with model legislation on child protection and parental rights. The testimony sets out arguments for limiting state intervention in disputes about a child’s sex and gender identity, and discusses the bill’s potential significance beyond Ohio. As a primary record of her statement to lawmakers, it helps substantiate the article’s account of Hanford’s involvement and her stated ambition for the proposal to influence other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1/a-bill-claiming-to-affirm-families-is-actually-designed-to-harm-lgbtq-kids/" TargetMode="External"/><Relationship Id="rId10" Type="http://schemas.openxmlformats.org/officeDocument/2006/relationships/hyperlink" Target="https://search-prod.lis.state.oh.us/api/v2/general_assembly_136/legislation/hb693/00_IN/pdf/" TargetMode="External"/><Relationship Id="rId11" Type="http://schemas.openxmlformats.org/officeDocument/2006/relationships/hyperlink" Target="https://pmc.ncbi.nlm.nih.gov/articles/PMC12334063/" TargetMode="External"/><Relationship Id="rId12" Type="http://schemas.openxmlformats.org/officeDocument/2006/relationships/hyperlink" Target="https://www.heritage.org/model-legislation/defining-abuse-child-protection-act" TargetMode="External"/><Relationship Id="rId13" Type="http://schemas.openxmlformats.org/officeDocument/2006/relationships/hyperlink" Target="https://www.heritage.org/gender/report/states-must-refuse-define-abuse-raising-child-according-his-or-her-sex" TargetMode="External"/><Relationship Id="rId14" Type="http://schemas.openxmlformats.org/officeDocument/2006/relationships/hyperlink" Target="https://search-prod.lis.state.oh.us/api/v2/general_assembly_136/committees/cmte_h_judiciary_1/meetings/cmte_h_judiciary_1_2026-03-25-1100_1172/testimony/16570/laurabhanfor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