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Symbolic Violence Helps Explain Queer Marginalisation in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legal system can sound neutral while still reflecting the assumptions of those with the most power. A new critical look at queer feminism and the law explores how this happens through symbolic violence: subtle, normalised pressures that shape who is recognised, whose experiences count and what seems legally “reasonable”. It matters because these ideas can have consequences far beyond words.</w:t>
      </w:r>
      <w:r/>
    </w:p>
    <w:p>
      <w:pPr>
        <w:pStyle w:val="Heading2"/>
      </w:pPr>
      <w:r>
        <w:t>Essential Takeaways</w:t>
      </w:r>
      <w:r/>
      <w:r/>
    </w:p>
    <w:p>
      <w:pPr>
        <w:pStyle w:val="ListBullet"/>
        <w:spacing w:line="240" w:lineRule="auto"/>
        <w:ind w:left="720"/>
      </w:pPr>
      <w:r/>
      <w:r>
        <w:rPr>
          <w:b/>
        </w:rPr>
        <w:t>Symbolic harm is often quiet:</w:t>
      </w:r>
      <w:r>
        <w:t xml:space="preserve"> It can operate through accepted rules and cultural expectations, not only physical force.</w:t>
      </w:r>
      <w:r/>
    </w:p>
    <w:p>
      <w:pPr>
        <w:pStyle w:val="ListBullet"/>
        <w:spacing w:line="240" w:lineRule="auto"/>
        <w:ind w:left="720"/>
      </w:pPr>
      <w:r/>
      <w:r>
        <w:rPr>
          <w:b/>
        </w:rPr>
        <w:t>Law helps shape social norms:</w:t>
      </w:r>
      <w:r>
        <w:t xml:space="preserve"> Legal categories and rulings can reinforce ideas about gender, sexuality and identity.</w:t>
      </w:r>
      <w:r/>
    </w:p>
    <w:p>
      <w:pPr>
        <w:pStyle w:val="ListBullet"/>
        <w:spacing w:line="240" w:lineRule="auto"/>
        <w:ind w:left="720"/>
      </w:pPr>
      <w:r/>
      <w:r>
        <w:rPr>
          <w:b/>
        </w:rPr>
        <w:t>Neutrality deserves scrutiny:</w:t>
      </w:r>
      <w:r>
        <w:t xml:space="preserve"> Terms such as “reasonable” may reflect dominant perspectives rather than universal standards.</w:t>
      </w:r>
      <w:r/>
    </w:p>
    <w:p>
      <w:pPr>
        <w:pStyle w:val="ListBullet"/>
        <w:spacing w:line="240" w:lineRule="auto"/>
        <w:ind w:left="720"/>
      </w:pPr>
      <w:r/>
      <w:r>
        <w:rPr>
          <w:b/>
        </w:rPr>
        <w:t>Recognition has practical effects:</w:t>
      </w:r>
      <w:r>
        <w:t xml:space="preserve"> Exclusion from legal categories can affect access to services and rights.</w:t>
      </w:r>
      <w:r/>
    </w:p>
    <w:p>
      <w:pPr>
        <w:pStyle w:val="ListBullet"/>
        <w:spacing w:line="240" w:lineRule="auto"/>
        <w:ind w:left="720"/>
      </w:pPr>
      <w:r/>
      <w:r>
        <w:rPr>
          <w:b/>
        </w:rPr>
        <w:t>Change starts with questioning:</w:t>
      </w:r>
      <w:r>
        <w:t xml:space="preserve"> Making assumptions visible can create room to challenge them.</w:t>
      </w:r>
      <w:r/>
      <w:r/>
    </w:p>
    <w:p>
      <w:pPr>
        <w:pStyle w:val="Heading2"/>
      </w:pPr>
      <w:r>
        <w:t>The law can cause harm without raising its voice</w:t>
      </w:r>
      <w:r/>
    </w:p>
    <w:p>
      <w:r/>
      <w:r>
        <w:t>The law’s power isn’t limited to what it prohibits or punishes. Its language and classifications can also quietly set the terms of belonging, giving some experiences official recognition while pushing others to the margins. That less visible pressure is the focus of symbolic violence, a concept associated with sociologist Pierre Bourdieu.</w:t>
      </w:r>
      <w:r/>
    </w:p>
    <w:p>
      <w:r/>
      <w:r>
        <w:t>The idea helps explain why inequality can persist without anyone issuing an explicit command. When a social order feels natural, people may absorb its expectations and reproduce them in everyday life, even when those expectations work against them. Research and scholarship on gender similarly examine how norms are formed and maintained, rather than treating them as fixed facts. (3), (4), (5)</w:t>
      </w:r>
      <w:r/>
    </w:p>
    <w:p>
      <w:pPr>
        <w:pStyle w:val="Heading2"/>
      </w:pPr>
      <w:r>
        <w:t>How everyday norms become hard to see</w:t>
      </w:r>
      <w:r/>
    </w:p>
    <w:p>
      <w:r/>
      <w:r>
        <w:t>Judith Butler’s account of gender performativity offers one way to understand how social expectations take hold. In broad terms, repeated behaviours can make ideas about gender appear stable and self-evident, even though they’re shaped by social norms. Bourdieu’s concept of habitus adds another layer: our learned dispositions influence how we perceive the world and act within it.</w:t>
      </w:r>
      <w:r/>
    </w:p>
    <w:p>
      <w:r/>
      <w:r>
        <w:t>Together, these ideas draw attention to harm that doesn’t always look dramatic. A rule or expectation may seem ordinary precisely because it’s repeated and familiar. That makes it harder to question, and easier for institutions to treat one way of living as the default. (3), (4), (5)</w:t>
      </w:r>
      <w:r/>
    </w:p>
    <w:p>
      <w:pPr>
        <w:pStyle w:val="Heading2"/>
      </w:pPr>
      <w:r>
        <w:t>Legal language doesn’t just describe reality</w:t>
      </w:r>
      <w:r/>
    </w:p>
    <w:p>
      <w:r/>
      <w:r>
        <w:t>Law is often presented as impartial, but its categories and judgements can carry the assumptions of the society in which they’re made. A ruling doesn’t merely record a view of the world; because it comes from an authorised institution, it can help establish which descriptions and identities count in public life.</w:t>
      </w:r>
      <w:r/>
    </w:p>
    <w:p>
      <w:r/>
      <w:r>
        <w:t>That authority can leave people with little say in the language used to define their circumstances. Legal systems rely on specialised knowledge, while many people encounter the law mainly through decisions made about them. Scholarship on legal institutions and social power offers useful context for understanding how official rules can reinforce wider divisions. (2), (6), (7)</w:t>
      </w:r>
      <w:r/>
    </w:p>
    <w:p>
      <w:pPr>
        <w:pStyle w:val="Heading2"/>
      </w:pPr>
      <w:r>
        <w:t>Why queer and feminist perspectives matter</w:t>
      </w:r>
      <w:r/>
    </w:p>
    <w:p>
      <w:r/>
      <w:r>
        <w:t>Queer and feminist approaches question the idea that existing categories are neutral or complete. They ask who benefits when law relies on narrow definitions of gender, sexuality, family or public morality, and whose experiences are left out. That scrutiny matters because exclusion from recognition can be connected to tangible barriers, including access to care and other essential services.</w:t>
      </w:r>
      <w:r/>
    </w:p>
    <w:p>
      <w:r/>
      <w:r>
        <w:t>The point isn’t simply to fit more people into old categories. It’s also to ask whether those categories need to change. Critical scholarship on gender and law helps show why recognition can be valuable, while warning that inclusion alone may leave deeper assumptions untouched. (2), (4), (6), (7)</w:t>
      </w:r>
      <w:r/>
    </w:p>
    <w:p>
      <w:pPr>
        <w:pStyle w:val="Heading2"/>
      </w:pPr>
      <w:r>
        <w:t>Making hidden assumptions easier to challenge</w:t>
      </w:r>
      <w:r/>
    </w:p>
    <w:p>
      <w:r/>
      <w:r>
        <w:t>A practical first step is to look closely at the language used in laws, policies and public debate. Ask whether a supposedly universal standard reflects everyone’s experience, or whether it treats one group’s assumptions as the norm. The same question applies to legal categories: who can use them, and who has to explain why they don’t fit?</w:t>
      </w:r>
      <w:r/>
    </w:p>
    <w:p>
      <w:r/>
      <w:r>
        <w:t>Change also depends on listening to people affected by these rules and taking their accounts seriously. Critical awareness won’t undo inequality overnight, but it can weaken the idea that current arrangements are inevitable. Sometimes the most useful question is also the simplest: who gets to define what counts as normal? (2), (4), (6), (7)</w:t>
      </w:r>
      <w:r/>
    </w:p>
    <w:p>
      <w:r/>
      <w:r>
        <w:t>It’s easier to challenge a rule once its assumptions are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https://criticallegalthinking.com/2026/11/04/critical-times-summer-school-symbolic-violence-queer-feminism-and-the-law/</w:t>
        </w:r>
      </w:hyperlink>
      <w:r>
        <w:t xml:space="preserve"> - Please view link - unable to able to access data</w:t>
      </w:r>
      <w:r/>
    </w:p>
    <w:p>
      <w:pPr>
        <w:pStyle w:val="ListNumber"/>
        <w:spacing w:line="240" w:lineRule="auto"/>
        <w:ind w:left="720"/>
      </w:pPr>
      <w:r/>
      <w:hyperlink r:id="rId9">
        <w:r>
          <w:rPr>
            <w:color w:val="0000EE"/>
            <w:u w:val="single"/>
          </w:rPr>
          <w:t>https://criticallegalthinking.com/2026/11/04/critical-times-summer-school-symbolic-violence-queer-feminism-and-the-law/</w:t>
        </w:r>
      </w:hyperlink>
      <w:r>
        <w:t xml:space="preserve"> - Amélie Courtine argues that law is not a neutral arbiter: its categories and procedures can reproduce social hierarchies while appearing universal. The post brings Pierre Bourdieu’s symbolic violence and habitus into conversation with Judith Butler’s account of gender performativity and Queer Feminist Theory. It describes how legal expertise, official classifications and judicial statements can authorise dominant ways of understanding social reality, leaving marginalised people with little influence over legal discourse. The article applies this analysis to heteronormative and binary assumptions affecting Queer and transgender people, and calls for critical awareness, broader recognition and structural legal transformation rather than assimilation into existing frameworks.</w:t>
      </w:r>
      <w:r/>
    </w:p>
    <w:p>
      <w:pPr>
        <w:pStyle w:val="ListNumber"/>
        <w:spacing w:line="240" w:lineRule="auto"/>
        <w:ind w:left="720"/>
      </w:pPr>
      <w:r/>
      <w:hyperlink r:id="rId10">
        <w:r>
          <w:rPr>
            <w:color w:val="0000EE"/>
            <w:u w:val="single"/>
          </w:rPr>
          <w:t>https://www.thebritishacademy.ac.uk/podcasts/judith-butler-on-gender/</w:t>
        </w:r>
      </w:hyperlink>
      <w:r>
        <w:t xml:space="preserve"> - In this essay, Judith Butler examines gender as a normative organisation of social reality, shaping expectations about bodies, conduct and identity. She discusses the pressures and painful consequences people may face when they do not conform, while stressing that people can act with, against or beyond gender norms. Butler also addresses the changing meanings of gender categories, including recognition of transgender, intersex and non-binary lives. The piece situates contemporary anti-gender politics within broader anxieties about social and political change, and argues that gender studies supports open enquiry into how society is organised, whose interests are served, and what possibilities exist for change.</w:t>
      </w:r>
      <w:r/>
    </w:p>
    <w:p>
      <w:pPr>
        <w:pStyle w:val="ListNumber"/>
        <w:spacing w:line="240" w:lineRule="auto"/>
        <w:ind w:left="720"/>
      </w:pPr>
      <w:r/>
      <w:hyperlink r:id="rId11">
        <w:r>
          <w:rPr>
            <w:color w:val="0000EE"/>
            <w:u w:val="single"/>
          </w:rPr>
          <w:t>https://plato.stanford.edu/entries/feminism-gender/</w:t>
        </w:r>
      </w:hyperlink>
      <w:r>
        <w:t xml:space="preserve"> - This Stanford Encyclopedia of Philosophy entry surveys feminist philosophical debates about sex, gender and identity. Its discussion of Judith Butler explains how categories such as ‘woman’ can carry normative expectations and exclude people who do not fit them. It outlines Butler’s critique of fixed gender identities and describes performativity as a way to understand how repeated norms help sustain gendered expectations. The entry also presents disagreement among feminist philosophers, including arguments about whether gender categories can support political mobilisation and whether abolishing gender norms is desirable. It offers a balanced scholarly overview rather than treating any single account of gender as settled.</w:t>
      </w:r>
      <w:r/>
    </w:p>
    <w:p>
      <w:pPr>
        <w:pStyle w:val="ListNumber"/>
        <w:spacing w:line="240" w:lineRule="auto"/>
        <w:ind w:left="720"/>
      </w:pPr>
      <w:r/>
      <w:hyperlink r:id="rId12">
        <w:r>
          <w:rPr>
            <w:color w:val="0000EE"/>
            <w:u w:val="single"/>
          </w:rPr>
          <w:t>https://journals.sagepub.com/doi/10.1057/fr.2015.53</w:t>
        </w:r>
      </w:hyperlink>
      <w:r>
        <w:t xml:space="preserve"> - This research article uses Pierre Bourdieu’s concepts of misrecognition, condescension, consent and complicity to examine how domination is reproduced in everyday life. The authors describe symbolic violence as subtle and difficult to see, operating through social interactions, institutional processes and habitual dispositions. They argue that this form of violence can diminish victims’ agency and voice while legitimising other kinds of harm. Drawing on Swedish research concerning violence against women, the article shows why studying symbolic violence alongside conventional accounts of violence can deepen analysis and suggest new interventions. It also notes that gendered violence creates particular vulnerabilities for marginalised groups, including LGBT people.</w:t>
      </w:r>
      <w:r/>
    </w:p>
    <w:p>
      <w:pPr>
        <w:pStyle w:val="ListNumber"/>
        <w:spacing w:line="240" w:lineRule="auto"/>
        <w:ind w:left="720"/>
      </w:pPr>
      <w:r/>
      <w:hyperlink r:id="rId13">
        <w:r>
          <w:rPr>
            <w:color w:val="0000EE"/>
            <w:u w:val="single"/>
          </w:rPr>
          <w:t>https://repository.uclawsf.edu/hastings_law_journal/vol38/iss5/3/</w:t>
        </w:r>
      </w:hyperlink>
      <w:r>
        <w:t xml:space="preserve"> - Pierre Bourdieu’s article develops a sociological account of the juridical field: the specialised social arena in which legal professionals interpret and produce authoritative legal meanings. It challenges simple portrayals of law as either wholly independent or merely a direct instrument of outside interests. Instead, Bourdieu examines how the legal field’s relative autonomy, professional expertise and specialised language shape its authority. The work is relevant to claims that legal discourse can make particular social classifications appear objective and legitimate. The repository page provides the publication record and access to the article, which is a central source for analysing law through Bourdieu’s sociology.</w:t>
      </w:r>
      <w:r/>
    </w:p>
    <w:p>
      <w:pPr>
        <w:pStyle w:val="ListNumber"/>
        <w:spacing w:line="240" w:lineRule="auto"/>
        <w:ind w:left="720"/>
      </w:pPr>
      <w:r/>
      <w:hyperlink r:id="rId14">
        <w:r>
          <w:rPr>
            <w:color w:val="0000EE"/>
            <w:u w:val="single"/>
          </w:rPr>
          <w:t>https://www.journals.uchicago.edu/doi/10.1086/663575</w:t>
        </w:r>
      </w:hyperlink>
      <w:r>
        <w:t xml:space="preserve"> - Cecilia Menjívar and Leisy Abrego analyse how immigration and criminal laws affect Central American immigrants living with precarious legal status. Based on ethnographic observation and more than 200 interviews conducted in Los Angeles, Phoenix and sending communities, the study examines consequences for work, family life and schooling. The authors use ‘legal violence’ to describe the normalised, cumulative injuries produced through the implementation and convergence of legal regimes. Their analysis connects law with structural and symbolic violence, showing how officially authorised procedures can shape everyday experience and long-term incorporation. The article provides an empirical illustration of law’s material effects beyond its stated rules.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riticallegalthinking.com/2026/11/04/critical-times-summer-school-symbolic-violence-queer-feminism-and-the-law/" TargetMode="External"/><Relationship Id="rId10" Type="http://schemas.openxmlformats.org/officeDocument/2006/relationships/hyperlink" Target="https://www.thebritishacademy.ac.uk/podcasts/judith-butler-on-gender/" TargetMode="External"/><Relationship Id="rId11" Type="http://schemas.openxmlformats.org/officeDocument/2006/relationships/hyperlink" Target="https://plato.stanford.edu/entries/feminism-gender/" TargetMode="External"/><Relationship Id="rId12" Type="http://schemas.openxmlformats.org/officeDocument/2006/relationships/hyperlink" Target="https://journals.sagepub.com/doi/10.1057/fr.2015.53" TargetMode="External"/><Relationship Id="rId13" Type="http://schemas.openxmlformats.org/officeDocument/2006/relationships/hyperlink" Target="https://repository.uclawsf.edu/hastings_law_journal/vol38/iss5/3/" TargetMode="External"/><Relationship Id="rId14" Type="http://schemas.openxmlformats.org/officeDocument/2006/relationships/hyperlink" Target="https://www.journals.uchicago.edu/doi/10.1086/6635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