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Community Care Moves Beyond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Pride can fill a street with colour, but lasting change is built in quieter ways. On the Las Vegas PRIDE Podcast, conversations about LGBTQ+ seniors, housing inequity and resilience explore what people need to thrive, not simply be seen. Together, they offer a useful reminder: community care means connection, fair access and support that lasts beyond a celebration.</w:t>
      </w:r>
      <w:r/>
    </w:p>
    <w:p>
      <w:pPr>
        <w:pStyle w:val="Heading2"/>
      </w:pPr>
      <w:r>
        <w:t>Essential Takeaways</w:t>
      </w:r>
      <w:r/>
      <w:r/>
    </w:p>
    <w:p>
      <w:pPr>
        <w:pStyle w:val="ListBullet"/>
        <w:spacing w:line="240" w:lineRule="auto"/>
        <w:ind w:left="720"/>
      </w:pPr>
      <w:r/>
      <w:r>
        <w:rPr>
          <w:b/>
        </w:rPr>
        <w:t>Connection matters:</w:t>
      </w:r>
      <w:r>
        <w:t xml:space="preserve"> LGBTQ+ older adults surveyed for a local project identified social connection as their leading priority.</w:t>
      </w:r>
      <w:r/>
    </w:p>
    <w:p>
      <w:pPr>
        <w:pStyle w:val="ListBullet"/>
        <w:spacing w:line="240" w:lineRule="auto"/>
        <w:ind w:left="720"/>
      </w:pPr>
      <w:r/>
      <w:r>
        <w:rPr>
          <w:b/>
        </w:rPr>
        <w:t>Research needs representation:</w:t>
      </w:r>
      <w:r>
        <w:t xml:space="preserve"> The Rainbows of Aging team focuses on LGBTQ+ older adults and brain health, including dementia-related conditions.</w:t>
      </w:r>
      <w:r/>
    </w:p>
    <w:p>
      <w:pPr>
        <w:pStyle w:val="ListBullet"/>
        <w:spacing w:line="240" w:lineRule="auto"/>
        <w:ind w:left="720"/>
      </w:pPr>
      <w:r/>
      <w:r>
        <w:rPr>
          <w:b/>
        </w:rPr>
        <w:t>Housing inequality has a long history:</w:t>
      </w:r>
      <w:r>
        <w:t xml:space="preserve"> Discriminatory housing practices restricted access to property and the wealth it can build.</w:t>
      </w:r>
      <w:r/>
    </w:p>
    <w:p>
      <w:pPr>
        <w:pStyle w:val="ListBullet"/>
        <w:spacing w:line="240" w:lineRule="auto"/>
        <w:ind w:left="720"/>
      </w:pPr>
      <w:r/>
      <w:r>
        <w:rPr>
          <w:b/>
        </w:rPr>
        <w:t>Fairness means removing barriers:</w:t>
      </w:r>
      <w:r>
        <w:t xml:space="preserve"> The podcast discussion moves from equal treatment towards equity and, ultimately, addressing the causes of exclusion.</w:t>
      </w:r>
      <w:r/>
      <w:r/>
    </w:p>
    <w:p>
      <w:pPr>
        <w:pStyle w:val="Heading2"/>
      </w:pPr>
      <w:r>
        <w:t>Pride needs practical follow-through</w:t>
      </w:r>
      <w:r/>
    </w:p>
    <w:p>
      <w:r/>
      <w:r>
        <w:t>A Pride event can be joyful and unmistakable: bright banners, busy streets and the comforting sense of being among your own. But visibility alone doesn't guarantee that people have the support, security or connection they need. Three conversations on the Las Vegas PRIDE Podcast look at what community care can mean in everyday life.</w:t>
      </w:r>
      <w:r/>
    </w:p>
    <w:p>
      <w:r/>
      <w:r>
        <w:t>The guests approach the question from different angles. Eric Abram discusses LGBTQ+ older adults and health research; Las Vegas REALTOR Jamaal Ealey considers housing and inequity; and Tori Shack's conversation turns to mental health and resilience. Together, their perspectives broaden the idea of advocacy from being recognised to having a fair chance to live well. (Sources: Las Vegas PRIDE Podcast; GREP.FM's podcast listing.)</w:t>
      </w:r>
      <w:r/>
    </w:p>
    <w:p>
      <w:pPr>
        <w:pStyle w:val="Heading2"/>
      </w:pPr>
      <w:r>
        <w:t>LGBTQ+ seniors need more than services</w:t>
      </w:r>
      <w:r/>
    </w:p>
    <w:p>
      <w:r/>
      <w:r>
        <w:t>Abram's work with UNLV's Rainbows of Aging research team focuses on LGBTQ+ older adults and brain health, including Alzheimer's disease, Parkinson's disease and dementia. He points to a gap in representation in health research, which can leave decision-makers with too little information about the needs of LGBTQ+ seniors. Better evidence can help shape more relevant care and support. (Sources: Rainbows of Aging; Las Vegas PRIDE Podcast.)</w:t>
      </w:r>
      <w:r/>
    </w:p>
    <w:p>
      <w:r/>
      <w:r>
        <w:t>There is also a human side that no dataset can neatly capture. Years of stigma or discrimination may make some older LGBTQ+ adults wary of disclosing their identity to healthcare providers. Feeling safe enough to be open can be part of receiving appropriate care, so trust matters as much as a clinic's services. (Sources: Rainbows of Aging; Las Vegas PRIDE Podcast.)</w:t>
      </w:r>
      <w:r/>
    </w:p>
    <w:p>
      <w:r/>
      <w:r>
        <w:t>A local senior project offered a striking reminder of what people may value most. When Abram asked LGBTQ+ older adults about their priorities, social connection came first. The Thrive and Shine Senior Resource Fair was designed around needs identified by seniors themselves, while its portrait project helped give older LGBTQ+ people a more visible place in community life. A warm gathering can be more than a nice afternoon; it can be a doorway to belonging. (Sources: Las Vegas PRIDE Podcast; Thrive and Shine Senior Resource Fair.)</w:t>
      </w:r>
      <w:r/>
    </w:p>
    <w:p>
      <w:pPr>
        <w:pStyle w:val="Heading2"/>
      </w:pPr>
      <w:r>
        <w:t>Housing inequity doesn't end with the past</w:t>
      </w:r>
      <w:r/>
    </w:p>
    <w:p>
      <w:r/>
      <w:r>
        <w:t>Ealey and Las Vegas PRIDE President Brady McGill discuss housing as both a personal necessity and a route to building wealth. Discriminatory practices restricted who could buy property and where they could live, shaping opportunities that could carry across generations. The Federal Reserve's history of redlining and the Urban Institute's work on housing and wealth offer wider context for the lasting effects of those patterns. (Sources: Federal Reserve History; Urban Institute; Las Vegas PRIDE Podcast.)</w:t>
      </w:r>
      <w:r/>
    </w:p>
    <w:p>
      <w:r/>
      <w:r>
        <w:t>The conversation also brings the issue into today's property market. Real estate professionals have a responsibility to avoid steering clients or making assumptions about what a person wants based on their identity or family circumstances. Fair service means offering relevant information and choices, then letting clients decide for themselves. (Sources: US Department of Justice; Las Vegas PRIDE Podcast.)</w:t>
      </w:r>
      <w:r/>
    </w:p>
    <w:p>
      <w:pPr>
        <w:pStyle w:val="Heading2"/>
      </w:pPr>
      <w:r>
        <w:t>Equality is a start, not the finish</w:t>
      </w:r>
      <w:r/>
    </w:p>
    <w:p>
      <w:r/>
      <w:r>
        <w:t>One useful distinction in the discussion is the difference between equality and equity. Equality gives everyone the same resources; equity recognises that people may need different support to overcome existing disadvantages. The next question is more challenging: why was the barrier there in the first place? (Sources: Las Vegas PRIDE Podcast; Urban Institute.)</w:t>
      </w:r>
      <w:r/>
    </w:p>
    <w:p>
      <w:r/>
      <w:r>
        <w:t>That shift matters because addressing individual cases can't, on its own, undo a system that keeps producing unequal outcomes. The Federal Reserve's account of redlining and the Justice Department's explanation of the Fair Housing Act help show why historic discrimination remains relevant to conversations about housing today. Naming the problem isn't a substitute for action, but it is a necessary first step. (Sources: Federal Reserve History; US Department of Justice.)</w:t>
      </w:r>
      <w:r/>
    </w:p>
    <w:p>
      <w:pPr>
        <w:pStyle w:val="Heading2"/>
      </w:pPr>
      <w:r>
        <w:t>Resilience means helping people thrive</w:t>
      </w:r>
      <w:r/>
    </w:p>
    <w:p>
      <w:r/>
      <w:r>
        <w:t>The third conversation, with Tori Shack, turns towards mental health and resilience. The supplied podcast overview describes the theme as preparing LGBTQ+ people not just to get through difficult circumstances, but to face them with greater confidence. That's a meaningful distinction: resilience isn't simply asking people to endure; it's also asking what support would make life more manageable. (Sources: Las Vegas PRIDE Podcast; GREP.FM's podcast listing.)</w:t>
      </w:r>
      <w:r/>
    </w:p>
    <w:p>
      <w:r/>
      <w:r>
        <w:t>Across the three discussions, the same idea keeps returning in different forms. Older adults need connection and relevant care; housing clients deserve fair choices; and people facing strain need support that helps them move forward. Community care is less a single grand gesture than a steady habit of noticing what's missing and doing something about it. (Sources: Las Vegas PRIDE Podcast; Rainbows of Aging.)</w:t>
      </w:r>
      <w:r/>
    </w:p>
    <w:p>
      <w:r/>
      <w:r>
        <w:t>Pride lasts longer when visibility is matched by connection, fairness and practical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[8]</w:t>
        </w:r>
      </w:hyperlink>
      <w:r>
        <w:t xml:space="preserve">- Paragraph 2: </w:t>
      </w:r>
      <w:hyperlink r:id="rId9">
        <w:r>
          <w:rPr>
            <w:color w:val="0000EE"/>
            <w:u w:val="single"/>
          </w:rPr>
          <w:t>[2]</w:t>
        </w:r>
      </w:hyperlink>
      <w:r>
        <w:t xml:space="preserve">, </w:t>
      </w:r>
      <w:hyperlink r:id="rId10">
        <w:r>
          <w:rPr>
            <w:color w:val="0000EE"/>
            <w:u w:val="single"/>
          </w:rPr>
          <w:t>[8]</w:t>
        </w:r>
      </w:hyperlink>
      <w:r>
        <w:t xml:space="preserve">- Paragraph 3: </w:t>
      </w:r>
      <w:hyperlink r:id="rId11">
        <w:r>
          <w:rPr>
            <w:color w:val="0000EE"/>
            <w:u w:val="single"/>
          </w:rPr>
          <w:t>[3]</w:t>
        </w:r>
      </w:hyperlink>
      <w:r>
        <w:t xml:space="preserve">, </w:t>
      </w:r>
      <w:hyperlink r:id="rId9">
        <w:r>
          <w:rPr>
            <w:color w:val="0000EE"/>
            <w:u w:val="single"/>
          </w:rPr>
          <w:t>[2]</w:t>
        </w:r>
      </w:hyperlink>
      <w:r>
        <w:t xml:space="preserve">- Paragraph 4: </w:t>
      </w:r>
      <w:hyperlink r:id="rId11">
        <w:r>
          <w:rPr>
            <w:color w:val="0000EE"/>
            <w:u w:val="single"/>
          </w:rPr>
          <w:t>[3]</w:t>
        </w:r>
      </w:hyperlink>
      <w:r>
        <w:t xml:space="preserve">, </w:t>
      </w:r>
      <w:hyperlink r:id="rId9">
        <w:r>
          <w:rPr>
            <w:color w:val="0000EE"/>
            <w:u w:val="single"/>
          </w:rPr>
          <w:t>[2]</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w:t>
      </w:r>
      <w:hyperlink r:id="rId9">
        <w:r>
          <w:rPr>
            <w:color w:val="0000EE"/>
            <w:u w:val="single"/>
          </w:rPr>
          <w:t>[2]</w:t>
        </w:r>
      </w:hyperlink>
      <w:r>
        <w:t xml:space="preserve">- Paragraph 7: </w:t>
      </w:r>
      <w:hyperlink r:id="rId15">
        <w:r>
          <w:rPr>
            <w:color w:val="0000EE"/>
            <w:u w:val="single"/>
          </w:rPr>
          <w:t>[7]</w:t>
        </w:r>
      </w:hyperlink>
      <w:r>
        <w:t xml:space="preserve">, </w:t>
      </w:r>
      <w:hyperlink r:id="rId9">
        <w:r>
          <w:rPr>
            <w:color w:val="0000EE"/>
            <w:u w:val="single"/>
          </w:rPr>
          <w:t>[2]</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[8]</w:t>
        </w:r>
      </w:hyperlink>
      <w:r>
        <w:t xml:space="preserve">- Paragraph 11: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https://lasvegaspride.org/2026/11/04/beyond-visibility/</w:t>
        </w:r>
      </w:hyperlink>
      <w:r>
        <w:t xml:space="preserve"> - Please view link - unable to able to access data</w:t>
      </w:r>
      <w:r/>
    </w:p>
    <w:p>
      <w:pPr>
        <w:pStyle w:val="ListNumber"/>
        <w:spacing w:line="240" w:lineRule="auto"/>
        <w:ind w:left="720"/>
      </w:pPr>
      <w:r/>
      <w:hyperlink r:id="rId9">
        <w:r>
          <w:rPr>
            <w:color w:val="0000EE"/>
            <w:u w:val="single"/>
          </w:rPr>
          <w:t>https://lasvegaspride.org/2026/11/04/beyond-visibility/</w:t>
        </w:r>
      </w:hyperlink>
      <w:r>
        <w:t xml:space="preserve"> - This Las Vegas PRIDE article brings together three podcast conversations about practical LGBTQ+ advocacy. Eric Abram discusses the needs of older LGBTQ+ adults, including inclusion in health research, the effects of long-term minority stress, healthcare disclosure and the importance of social connection. Jamaal Ealey and Brady McGill consider housing inequity, discriminatory practices and how real estate professionals can challenge bias. Tori Shack’s conversation addresses mental health, resilience and preparation for difficult circumstances. Across these subjects, the article argues that community care must extend beyond public visibility and acceptance: LGBTQ+ people need meaningful support, connection, fair opportunities and resources that help them thrive. The piece presents advocacy as everyday work.</w:t>
      </w:r>
      <w:r/>
    </w:p>
    <w:p>
      <w:pPr>
        <w:pStyle w:val="ListNumber"/>
        <w:spacing w:line="240" w:lineRule="auto"/>
        <w:ind w:left="720"/>
      </w:pPr>
      <w:r/>
      <w:hyperlink r:id="rId11">
        <w:r>
          <w:rPr>
            <w:color w:val="0000EE"/>
            <w:u w:val="single"/>
          </w:rPr>
          <w:t>https://rainbowsofaging.org/</w:t>
        </w:r>
      </w:hyperlink>
      <w:r>
        <w:t xml:space="preserve"> - The Rainbows of Aging website describes research at the University of Nevada, Las Vegas School of Public Health focused on the health and ageing of LGBTQIA+ adults. Its areas include Alzheimer’s disease, dementia, caregiving, healthcare, housing, quality of life, and physical, mental and social health. The site explains that its brain-health work examines risk and protective factors among LGBTQIA+ seniors, and it lists Eric Abram among the research team. It also outlines studies for older adults and dementia caregivers, including research participation by Zoom. This institutional resource supports the article’s account of Abram’s research context and the broader need for inclusive, representative health research concerning LGBTQ+ older people.</w:t>
      </w:r>
      <w:r/>
    </w:p>
    <w:p>
      <w:pPr>
        <w:pStyle w:val="ListNumber"/>
        <w:spacing w:line="240" w:lineRule="auto"/>
        <w:ind w:left="720"/>
      </w:pPr>
      <w:r/>
      <w:hyperlink r:id="rId12">
        <w:r>
          <w:rPr>
            <w:color w:val="0000EE"/>
            <w:u w:val="single"/>
          </w:rPr>
          <w:t>https://lasvegaspride.org/event/thrive-shine-senior-resource-fair/</w:t>
        </w:r>
      </w:hyperlink>
      <w:r>
        <w:t xml:space="preserve"> - This Las Vegas PRIDE event listing describes Thrive &amp; Shine, a free resource fair for people aged 50 and over, with particular attention to LGBTQIA+ elders. It says the programme was developed after months of listening to local seniors and was intended to connect attendees with vendors, services and activities that support them to thrive. The listing gives the event date as 13 August 2026, from 10 am to 1 pm, and identifies The Center as organiser and venue. It corroborates the article’s description of a locally informed senior-support project, while adding practical information about its purpose, audience, timing and location.</w:t>
      </w:r>
      <w:r/>
    </w:p>
    <w:p>
      <w:pPr>
        <w:pStyle w:val="ListNumber"/>
        <w:spacing w:line="240" w:lineRule="auto"/>
        <w:ind w:left="720"/>
      </w:pPr>
      <w:r/>
      <w:hyperlink r:id="rId13">
        <w:r>
          <w:rPr>
            <w:color w:val="0000EE"/>
            <w:u w:val="single"/>
          </w:rPr>
          <w:t>https://www.federalreservehistory.org/essays/redlining</w:t>
        </w:r>
      </w:hyperlink>
      <w:r>
        <w:t xml:space="preserve"> - Federal Reserve History explains how government-backed mortgage policy helped establish redlining in the United States. It describes the Federal Housing Administration’s discriminatory underwriting practices from 1934, including the exclusion of Black neighbourhoods from favourable mortgage insurance and the promotion of restrictive covenants. The essay notes how these practices shaped access to home loans and suburban home ownership. It also states that the Fair Housing Act of 1968 prohibited discrimination in real estate and mortgage lending, including racially motivated redlining. This historical account supports the article’s discussion of discriminatory housing systems and their enduring consequences, although it focuses chiefly on race and lending policy rather than LGBTQ+ experiences.</w:t>
      </w:r>
      <w:r/>
    </w:p>
    <w:p>
      <w:pPr>
        <w:pStyle w:val="ListNumber"/>
        <w:spacing w:line="240" w:lineRule="auto"/>
        <w:ind w:left="720"/>
      </w:pPr>
      <w:r/>
      <w:hyperlink r:id="rId14">
        <w:r>
          <w:rPr>
            <w:color w:val="0000EE"/>
            <w:u w:val="single"/>
          </w:rPr>
          <w:t>https://www.urban.org/apps/pursuing-housing-justice-interventions-impact/opportunity-and-wealth</w:t>
        </w:r>
      </w:hyperlink>
      <w:r>
        <w:t xml:space="preserve"> - The Urban Institute’s housing-justice resource examines how discrimination and segregation have limited people’s housing choices and opportunities to build wealth. It discusses redlining, race-restrictive covenants and exclusion from New Deal-era benefits, explaining how these practices devalued Black neighbourhoods and constrained investment. The resource connects historic housing discrimination with present-day wealth disparities and inequities in other areas, including education. It also describes possible approaches to housing justice, such as mobility assistance, rent reporting, reparations and fairer property appraisals. This material supports the article’s central point that housing barriers have cumulative effects across generations, and that addressing inequity involves more than offering people identical resources.</w:t>
      </w:r>
      <w:r/>
    </w:p>
    <w:p>
      <w:pPr>
        <w:pStyle w:val="ListNumber"/>
        <w:spacing w:line="240" w:lineRule="auto"/>
        <w:ind w:left="720"/>
      </w:pPr>
      <w:r/>
      <w:hyperlink r:id="rId15">
        <w:r>
          <w:rPr>
            <w:color w:val="0000EE"/>
            <w:u w:val="single"/>
          </w:rPr>
          <w:t>https://www.justice.gov/crt/fair-housing-act-1</w:t>
        </w:r>
      </w:hyperlink>
      <w:r>
        <w:t xml:space="preserve"> - The US Department of Justice outlines the Fair Housing Act’s prohibition on discrimination by landlords, estate agencies, lenders and other housing providers. Its overview lists protected characteristics and explains how people may report suspected violations or pursue legal action. The page specifically describes practices such as falsely claiming that housing is unavailable and steering home-seekers towards particular areas on racial grounds. It also explains the Justice Department’s role in investigating and bringing cases involving patterns of discrimination. This official guidance supports the article’s discussion of steering, professional responsibility and challenging discriminatory conduct in housing. The page’s stated protections and legal detail should be read in their current statutory context.</w:t>
      </w:r>
      <w:r/>
    </w:p>
    <w:p>
      <w:pPr>
        <w:pStyle w:val="ListNumber"/>
        <w:spacing w:line="240" w:lineRule="auto"/>
        <w:ind w:left="720"/>
      </w:pPr>
      <w:r/>
      <w:hyperlink r:id="rId10">
        <w:r>
          <w:rPr>
            <w:color w:val="0000EE"/>
            <w:u w:val="single"/>
          </w:rPr>
          <w:t>https://grep.fm/podcasts/las-vegas-pride-podcast/</w:t>
        </w:r>
      </w:hyperlink>
      <w:r>
        <w:t xml:space="preserve"> - This Las Vegas PRIDE Podcast directory page profiles the show and lists episode titles, guests and publication details. It includes episodes featuring Eric Abram and Jamaal Ealey, as well as “Tough Love, Resilience, and Real-World Survival”, featuring Torri Shack. The episode listings connect the podcast to themes of LGBTQ+ senior health, real estate and resilience that appear in the article. The page also describes the podcast as a weekly English-language programme produced by Southern Nevada Association of PRIDE, Inc. As a podcast index rather than the publisher’s own episode archive, it provides corroborating metadata about guests and episode topics, but not a full transcript of their conversations.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pride.org/2026/11/04/beyond-visibility/" TargetMode="External"/><Relationship Id="rId10" Type="http://schemas.openxmlformats.org/officeDocument/2006/relationships/hyperlink" Target="https://grep.fm/podcasts/las-vegas-pride-podcast/" TargetMode="External"/><Relationship Id="rId11" Type="http://schemas.openxmlformats.org/officeDocument/2006/relationships/hyperlink" Target="https://rainbowsofaging.org/" TargetMode="External"/><Relationship Id="rId12" Type="http://schemas.openxmlformats.org/officeDocument/2006/relationships/hyperlink" Target="https://lasvegaspride.org/event/thrive-shine-senior-resource-fair/" TargetMode="External"/><Relationship Id="rId13" Type="http://schemas.openxmlformats.org/officeDocument/2006/relationships/hyperlink" Target="https://www.federalreservehistory.org/essays/redlining" TargetMode="External"/><Relationship Id="rId14" Type="http://schemas.openxmlformats.org/officeDocument/2006/relationships/hyperlink" Target="https://www.urban.org/apps/pursuing-housing-justice-interventions-impact/opportunity-and-wealth" TargetMode="External"/><Relationship Id="rId15" Type="http://schemas.openxmlformats.org/officeDocument/2006/relationships/hyperlink" Target="https://www.justice.gov/crt/fair-housing-act-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