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Gay Symbols and Their Hidden History, From Carnations to Codes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green carnation, a pink triangle or a flash of lavender can carry far more history than first meets the eye. Queer symbols have helped LGBTQ+ people recognise one another, express solidarity and challenge exclusion, but their meanings shift with time and place. Here’s how to read their stories without turning them into a guessing game about strangers.</w:t>
      </w:r>
      <w:r/>
    </w:p>
    <w:p>
      <w:pPr>
        <w:pStyle w:val="Heading2"/>
      </w:pPr>
      <w:r>
        <w:t>Essential Takeaways</w:t>
      </w:r>
      <w:r/>
      <w:r/>
    </w:p>
    <w:p>
      <w:pPr>
        <w:pStyle w:val="ListBullet"/>
        <w:spacing w:line="240" w:lineRule="auto"/>
        <w:ind w:left="720"/>
      </w:pPr>
      <w:r/>
      <w:r>
        <w:rPr>
          <w:b/>
        </w:rPr>
        <w:t>Meanings depend on context:</w:t>
      </w:r>
      <w:r>
        <w:t xml:space="preserve"> A symbol’s significance can change across generations and communities.</w:t>
      </w:r>
      <w:r/>
    </w:p>
    <w:p>
      <w:pPr>
        <w:pStyle w:val="ListBullet"/>
        <w:spacing w:line="240" w:lineRule="auto"/>
        <w:ind w:left="720"/>
      </w:pPr>
      <w:r/>
      <w:r>
        <w:rPr>
          <w:b/>
        </w:rPr>
        <w:t>Some signals offered privacy:</w:t>
      </w:r>
      <w:r>
        <w:t xml:space="preserve"> Polari and coded phrases let people communicate discreetly when being openly gay could bring serious consequences.</w:t>
      </w:r>
      <w:r/>
    </w:p>
    <w:p>
      <w:pPr>
        <w:pStyle w:val="ListBullet"/>
        <w:spacing w:line="240" w:lineRule="auto"/>
        <w:ind w:left="720"/>
      </w:pPr>
      <w:r/>
      <w:r>
        <w:rPr>
          <w:b/>
        </w:rPr>
        <w:t>Others became public statements:</w:t>
      </w:r>
      <w:r>
        <w:t xml:space="preserve"> Activists reclaimed the pink triangle and lavender to challenge persecution and exclusion.</w:t>
      </w:r>
      <w:r/>
    </w:p>
    <w:p>
      <w:pPr>
        <w:pStyle w:val="ListBullet"/>
        <w:spacing w:line="240" w:lineRule="auto"/>
        <w:ind w:left="720"/>
      </w:pPr>
      <w:r/>
      <w:r>
        <w:rPr>
          <w:b/>
        </w:rPr>
        <w:t>Not every story is settled:</w:t>
      </w:r>
      <w:r>
        <w:t xml:space="preserve"> The green carnation’s precise meaning and the origin of “friend of Dorothy” remain debated.</w:t>
      </w:r>
      <w:r/>
    </w:p>
    <w:p>
      <w:pPr>
        <w:pStyle w:val="ListBullet"/>
        <w:spacing w:line="240" w:lineRule="auto"/>
        <w:ind w:left="720"/>
      </w:pPr>
      <w:r/>
      <w:r>
        <w:rPr>
          <w:b/>
        </w:rPr>
        <w:t>Symbols aren’t identity tests:</w:t>
      </w:r>
      <w:r>
        <w:t xml:space="preserve"> A colour or accessory can’t reliably tell you someone’s sexuality.</w:t>
      </w:r>
      <w:r/>
      <w:r/>
    </w:p>
    <w:p>
      <w:pPr>
        <w:pStyle w:val="Heading2"/>
      </w:pPr>
      <w:r>
        <w:t>A flower, a badge, a message</w:t>
      </w:r>
      <w:r/>
    </w:p>
    <w:p>
      <w:r/>
      <w:r>
        <w:t xml:space="preserve">In 1892, Oscar Wilde asked friends to wear green carnations to the opening of </w:t>
      </w:r>
      <w:r>
        <w:rPr>
          <w:i/>
        </w:rPr>
        <w:t>Lady Windermere’s Fan</w:t>
      </w:r>
      <w:r>
        <w:t>. The flower became linked to his circle, but its exact meaning remains uncertain. Cambridge University Library records the request while cautioning against treating the carnation as a fixed Victorian code.</w:t>
      </w:r>
      <w:r/>
    </w:p>
    <w:p>
      <w:r/>
      <w:r>
        <w:t>That ambiguity is part of the story. Symbols can be deliberately suggestive, meaningful within a particular group, or simply picked up and reinterpreted over time. The green carnation’s connection to Wilde is well documented; the idea that it always carried one precise message is harder to support.</w:t>
      </w:r>
      <w:r/>
    </w:p>
    <w:p>
      <w:pPr>
        <w:pStyle w:val="Heading2"/>
      </w:pPr>
      <w:r>
        <w:t>Quiet signals for less forgiving times</w:t>
      </w:r>
      <w:r/>
    </w:p>
    <w:p>
      <w:r/>
      <w:r>
        <w:t>For much of modern history, coded language and clothing offered a way to communicate in public without spelling everything out. In Britain, gay men used Polari, a lively slang drawing on several languages and speech traditions. It could let someone gossip in a crowded place while keeping an uninitiated listener in the dark, as History.com explains.</w:t>
      </w:r>
      <w:r/>
    </w:p>
    <w:p>
      <w:r/>
      <w:r>
        <w:t xml:space="preserve">The phrase “friend of Dorothy” served a similar purpose, most commonly understood as a discreet reference to a gay man. Judy Garland’s role as Dorothy in </w:t>
      </w:r>
      <w:r>
        <w:rPr>
          <w:i/>
        </w:rPr>
        <w:t>The Wizard of Oz</w:t>
      </w:r>
      <w:r>
        <w:t xml:space="preserve"> is the best-known explanation, but the phrase’s precise origins aren’t settled. In gay New York, historian George Chauncey’s research also describes clothing such as red ties as possible signals among men, with meaning shaped by the setting rather than the item alone.</w:t>
      </w:r>
      <w:r/>
    </w:p>
    <w:p>
      <w:r/>
      <w:r>
        <w:t>That’s a useful distinction today: history can explain what an accessory once meant in a particular social world, but it can’t tell you what a stranger intends by wearing one now.</w:t>
      </w:r>
      <w:r/>
    </w:p>
    <w:p>
      <w:pPr>
        <w:pStyle w:val="Heading2"/>
      </w:pPr>
      <w:r>
        <w:t>From persecution to protest</w:t>
      </w:r>
      <w:r/>
    </w:p>
    <w:p>
      <w:r/>
      <w:r>
        <w:t>The pink triangle has one of the starkest histories. Nazi authorities used it to mark men imprisoned in concentration camps as “homosexual” offenders. The US Holocaust Memorial Museum distinguishes those prisoners from the wider persecution under Paragraph 175, which led to arrests and convictions on a far larger scale.</w:t>
      </w:r>
      <w:r/>
    </w:p>
    <w:p>
      <w:r/>
      <w:r>
        <w:t>After the war, legal persecution did not simply disappear. West Germany continued enforcing the Nazi-era version of Paragraph 175 until reforms in 1969, and the law remained in modified form until 1994, according to the museum. Activists later reclaimed the pink triangle as a sign of defiance. In 1987, the Silence = Death collective used an upward-pointing triangle in its AIDS activism poster, an image ACT UP also adopted.</w:t>
      </w:r>
      <w:r/>
    </w:p>
    <w:p>
      <w:r/>
      <w:r>
        <w:t>The colour lavender carries a different but related story of exclusion and resistance. The US National Archives documents the federal employment purge that intensified after President Dwight D. Eisenhower signed Executive Order 10450 in 1953. In 1970, lesbian activists wore “Lavender Menace” T-shirts at a women’s liberation conference to protest their exclusion, as the NYC LGBTQ Historic Sites Project records.</w:t>
      </w:r>
      <w:r/>
    </w:p>
    <w:p>
      <w:pPr>
        <w:pStyle w:val="Heading2"/>
      </w:pPr>
      <w:r>
        <w:t>Symbols of solidarity, not a universal code</w:t>
      </w:r>
      <w:r/>
    </w:p>
    <w:p>
      <w:r/>
      <w:r>
        <w:t>Other symbols were chosen more openly. New York’s Gay Activists Alliance adopted the Greek letter lambda in 1970, with the decision credited to designer Tom Doerr. The National Park Service notes that explanations for the choice vary, so it’s best not to reduce its meaning to one definitive story.</w:t>
      </w:r>
      <w:r/>
    </w:p>
    <w:p>
      <w:r/>
      <w:r>
        <w:t>Violets, the labrys and interlocking Venus signs have also been associated with love between women and lesbian activism. These images connect literature, community and political identity, but their meanings aren’t interchangeable. The black triangle is another example where care matters: Nazi authorities used it for prisoners classified as “asocial”, not specifically as a badge for lesbians, though some lesbian activists later reclaimed it.</w:t>
      </w:r>
      <w:r/>
    </w:p>
    <w:p>
      <w:pPr>
        <w:pStyle w:val="Heading2"/>
      </w:pPr>
      <w:r>
        <w:t>How to approach queer symbols now</w:t>
      </w:r>
      <w:r/>
    </w:p>
    <w:p>
      <w:r/>
      <w:r>
        <w:t>A symbol can be a personal statement, a nod to community or simply an attractive accessory. Its meaning may depend on who’s wearing it, where they are and what the object means to them. Even historic codes such as hanky colours had no single authoritative version.</w:t>
      </w:r>
      <w:r/>
    </w:p>
    <w:p>
      <w:r/>
      <w:r>
        <w:t>So, if a symbol catches your eye, curiosity is better than assumption. Ask what it means only when the setting feels welcoming, and accept that someone may not want to explain. The history is rich enough without turning it into a checklist for identifying people.</w:t>
      </w:r>
      <w:r/>
    </w:p>
    <w:p>
      <w:r/>
      <w:r>
        <w:t>Explore the history, but let people define their own symbols.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Paragraph 3: </w:t>
      </w:r>
      <w:hyperlink r:id="rId11">
        <w:r>
          <w:rPr>
            <w:color w:val="0000EE"/>
            <w:u w:val="single"/>
          </w:rPr>
          <w:t>[7]</w:t>
        </w:r>
      </w:hyperlink>
      <w:r>
        <w:t xml:space="preserve">- Paragraph 4: </w:t>
      </w:r>
      <w:hyperlink r:id="rId11">
        <w:r>
          <w:rPr>
            <w:color w:val="0000EE"/>
            <w:u w:val="single"/>
          </w:rPr>
          <w:t>[7]</w:t>
        </w:r>
      </w:hyperlink>
      <w:r>
        <w:t xml:space="preserve">- Paragraph 5: </w:t>
      </w:r>
      <w:hyperlink r:id="rId12">
        <w:r>
          <w:rPr>
            <w:color w:val="0000EE"/>
            <w:u w:val="single"/>
          </w:rPr>
          <w:t>[3]</w:t>
        </w:r>
      </w:hyperlink>
      <w:r>
        <w:t xml:space="preserve">- Paragraph 6: </w:t>
      </w:r>
      <w:hyperlink r:id="rId12">
        <w:r>
          <w:rPr>
            <w:color w:val="0000EE"/>
            <w:u w:val="single"/>
          </w:rPr>
          <w:t>[3]</w:t>
        </w:r>
      </w:hyperlink>
      <w:r>
        <w:t xml:space="preserve">- Paragraph 7: </w:t>
      </w:r>
      <w:hyperlink r:id="rId13">
        <w:r>
          <w:rPr>
            <w:color w:val="0000EE"/>
            <w:u w:val="single"/>
          </w:rPr>
          <w:t>[4]</w:t>
        </w:r>
      </w:hyperlink>
      <w:r>
        <w:t xml:space="preserve">- Paragraph 8: </w:t>
      </w:r>
      <w:hyperlink r:id="rId14">
        <w:r>
          <w:rPr>
            <w:color w:val="0000EE"/>
            <w:u w:val="single"/>
          </w:rPr>
          <w:t>[5]</w:t>
        </w:r>
      </w:hyperlink>
      <w:r>
        <w:t xml:space="preserve">- Paragraph 9: </w:t>
      </w:r>
      <w:hyperlink r:id="rId15">
        <w:r>
          <w:rPr>
            <w:color w:val="0000EE"/>
            <w:u w:val="single"/>
          </w:rPr>
          <w:t>[6]</w:t>
        </w:r>
      </w:hyperlink>
      <w:r>
        <w:t xml:space="preserve">- Paragraph 10: </w:t>
      </w:r>
      <w:hyperlink r:id="rId12">
        <w:r>
          <w:rPr>
            <w:color w:val="0000EE"/>
            <w:u w:val="single"/>
          </w:rPr>
          <w:t>[3]</w:t>
        </w:r>
      </w:hyperlink>
      <w:r>
        <w:t xml:space="preserve">- Paragraph 11: </w:t>
      </w:r>
      <w:hyperlink r:id="rId11">
        <w:r>
          <w:rPr>
            <w:color w:val="0000EE"/>
            <w:u w:val="single"/>
          </w:rPr>
          <w:t>[7]</w:t>
        </w:r>
      </w:hyperlink>
      <w:r>
        <w:t xml:space="preserve">- Paragraph 12: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https://gayety.com/gay-symbols-history</w:t>
        </w:r>
      </w:hyperlink>
      <w:r>
        <w:t xml:space="preserve"> - Please view link - unable to able to access data</w:t>
      </w:r>
      <w:r/>
    </w:p>
    <w:p>
      <w:pPr>
        <w:pStyle w:val="ListNumber"/>
        <w:spacing w:line="240" w:lineRule="auto"/>
        <w:ind w:left="720"/>
      </w:pPr>
      <w:r/>
      <w:hyperlink r:id="rId10">
        <w:r>
          <w:rPr>
            <w:color w:val="0000EE"/>
            <w:u w:val="single"/>
          </w:rPr>
          <w:t>https://specialcollections-blog.lib.cam.ac.uk/?p=8848</w:t>
        </w:r>
      </w:hyperlink>
      <w:r>
        <w:t xml:space="preserve"> - Cambridge University Library Special Collections discusses Oscar Wilde’s circle and the green carnation. It records that Wilde asked Graham Robertson to wear one at the opening of Lady Windermere’s Fan in 1892, and that the flower became associated with Wilde and his group. The account carefully notes that its precise meaning remains debated, supporting the article’s distinction between a documented association and a definite, universal code. It also provides context about Wilde and Robertson’s relationship and the circulation of literary works and presentation copies among their circle. This is a focused institutional source for the article’s account of the carnation’s Victorian history and uncertainty.</w:t>
      </w:r>
      <w:r/>
    </w:p>
    <w:p>
      <w:pPr>
        <w:pStyle w:val="ListNumber"/>
        <w:spacing w:line="240" w:lineRule="auto"/>
        <w:ind w:left="720"/>
      </w:pPr>
      <w:r/>
      <w:hyperlink r:id="rId12">
        <w:r>
          <w:rPr>
            <w:color w:val="0000EE"/>
            <w:u w:val="single"/>
          </w:rPr>
          <w:t>https://encyclopedia.ushmm.org/content/en/article/paragraph-175-and-the-nazi-campaign-against-homosexuality</w:t>
        </w:r>
      </w:hyperlink>
      <w:r>
        <w:t xml:space="preserve"> - The United States Holocaust Memorial Museum explains Nazi persecution under Paragraph 175, including arrests, convictions and imprisonment in concentration camps. It estimates that approximately 100,000 arrests took place and that 5,000 to 15,000 men were sent to camps as alleged homosexual offenders. The article describes the pink triangle as a badge imposed on many men imprisoned under Paragraph 175 and explains the wider prisoner classification system. It also clarifies that arrests, convictions and camp imprisonment are different measures, which supports the article’s caution against treating these figures as interchangeable. This authoritative account grounds the discussion of persecution behind the symbol.</w:t>
      </w:r>
      <w:r/>
    </w:p>
    <w:p>
      <w:pPr>
        <w:pStyle w:val="ListNumber"/>
        <w:spacing w:line="240" w:lineRule="auto"/>
        <w:ind w:left="720"/>
      </w:pPr>
      <w:r/>
      <w:hyperlink r:id="rId13">
        <w:r>
          <w:rPr>
            <w:color w:val="0000EE"/>
            <w:u w:val="single"/>
          </w:rPr>
          <w:t>https://www.archives.gov/research/lgbt/federal-employment</w:t>
        </w:r>
      </w:hyperlink>
      <w:r>
        <w:t xml:space="preserve"> - The US National Archives describes the Lavender Scare and the federal government’s campaign against LGBTQIA+ employees. It states that President Dwight D. Eisenhower signed Executive Order 10450 in 1953, during a period when LGBTQIA+ people were treated as national security threats and barred from federal employment. The order led to people losing jobs, although the Archives does not give one definitive total. This source supports the article’s date and account of the order’s role in the purge. It also provides archival context for understanding how lavender shifted from a colour with queer associations into a politically charged emblem.</w:t>
      </w:r>
      <w:r/>
    </w:p>
    <w:p>
      <w:pPr>
        <w:pStyle w:val="ListNumber"/>
        <w:spacing w:line="240" w:lineRule="auto"/>
        <w:ind w:left="720"/>
      </w:pPr>
      <w:r/>
      <w:hyperlink r:id="rId14">
        <w:r>
          <w:rPr>
            <w:color w:val="0000EE"/>
            <w:u w:val="single"/>
          </w:rPr>
          <w:t>https://www.nyclgbtsites.org/site/lavender-menace-action-at-second-congress-to-unite-women/</w:t>
        </w:r>
      </w:hyperlink>
      <w:r>
        <w:t xml:space="preserve"> - The NYC LGBTQ Historic Sites Project documents the Lavender Menace action at the Second Congress to Unite Women in New York on 1 May 1970. Lesbians from Radicalesbians and other groups challenged the exclusion of lesbians from the women’s liberation movement, wearing shirts and demanding that lesbianism be recognised as integral to it. The account traces the name to hostile comments by women’s movement leaders, including Betty Friedan’s use of “lavender menace”. It supports the article’s description of the action as a public protest and an act of reclamation, and supplies historical detail about participants, location and the event’s tactics.</w:t>
      </w:r>
      <w:r/>
    </w:p>
    <w:p>
      <w:pPr>
        <w:pStyle w:val="ListNumber"/>
        <w:spacing w:line="240" w:lineRule="auto"/>
        <w:ind w:left="720"/>
      </w:pPr>
      <w:r/>
      <w:hyperlink r:id="rId15">
        <w:r>
          <w:rPr>
            <w:color w:val="0000EE"/>
            <w:u w:val="single"/>
          </w:rPr>
          <w:t>https://www.nps.gov/articles/gaa.htm</w:t>
        </w:r>
      </w:hyperlink>
      <w:r>
        <w:t xml:space="preserve"> - The US National Park Service recounts the formation and activism of New York’s Gay Activists Alliance after the Stonewall uprising. It says the organisation chose the lower-case Greek letter lambda as its symbol, while noting that explanations of the choice differ: some connect it with an exchange of energy, while another account says designer Tom Doerr simply liked its appearance. The article also describes the Alliance’s demonstrations, public interventions and headquarters at a former firehouse. This source supports the article’s account of lambda’s adoption and the uncertainty around its meaning, while placing the emblem within the broader political organising of the early gay liberation movement.</w:t>
      </w:r>
      <w:r/>
    </w:p>
    <w:p>
      <w:pPr>
        <w:pStyle w:val="ListNumber"/>
        <w:spacing w:line="240" w:lineRule="auto"/>
        <w:ind w:left="720"/>
      </w:pPr>
      <w:r/>
      <w:hyperlink r:id="rId11">
        <w:r>
          <w:rPr>
            <w:color w:val="0000EE"/>
            <w:u w:val="single"/>
          </w:rPr>
          <w:t>https://www.history.com/articles/queer-lgbtq-codes-languages</w:t>
        </w:r>
      </w:hyperlink>
      <w:r>
        <w:t xml:space="preserve"> - This overview explores queer codes and forms of communication, including coded phrases, Polari and handkerchief signalling. It explains that “friend of Dorothy” served as a discreet way to ask whether a man was gay, while acknowledging that the phrase’s origin is disputed and the Judy Garland and Wizard of Oz explanation is the best-known account. It describes Polari as a British vocabulary assembled from several linguistic sources and used to communicate in front of outsiders. The article also notes the hanky code’s association with 1970s gay leather bars and the signalling of sexual interests. Its treatment reinforces that codes varied and were not universal.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ty.com/gay-symbols-history" TargetMode="External"/><Relationship Id="rId10" Type="http://schemas.openxmlformats.org/officeDocument/2006/relationships/hyperlink" Target="https://specialcollections-blog.lib.cam.ac.uk/?p=8848" TargetMode="External"/><Relationship Id="rId11" Type="http://schemas.openxmlformats.org/officeDocument/2006/relationships/hyperlink" Target="https://www.history.com/articles/queer-lgbtq-codes-languages" TargetMode="External"/><Relationship Id="rId12" Type="http://schemas.openxmlformats.org/officeDocument/2006/relationships/hyperlink" Target="https://encyclopedia.ushmm.org/content/en/article/paragraph-175-and-the-nazi-campaign-against-homosexuality" TargetMode="External"/><Relationship Id="rId13" Type="http://schemas.openxmlformats.org/officeDocument/2006/relationships/hyperlink" Target="https://www.archives.gov/research/lgbt/federal-employment" TargetMode="External"/><Relationship Id="rId14" Type="http://schemas.openxmlformats.org/officeDocument/2006/relationships/hyperlink" Target="https://www.nyclgbtsites.org/site/lavender-menace-action-at-second-congress-to-unite-women/" TargetMode="External"/><Relationship Id="rId15" Type="http://schemas.openxmlformats.org/officeDocument/2006/relationships/hyperlink" Target="https://www.nps.gov/articles/gaa.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