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Botswana Same-Sex Marriage Case: Why Legal Context Matters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A legal research project at Regent University is examining how Botswana’s laws and constitutional framework apply to the recognition of same-sex marriage. The work draws on decisions and legislation from neighbouring African countries and beyond, offering a useful reminder that legal comparisons can inform a case without replacing the country’s own laws.</w:t>
      </w:r>
      <w:r/>
    </w:p>
    <w:p>
      <w:pPr>
        <w:pStyle w:val="Heading2"/>
      </w:pPr>
      <w:r>
        <w:t>Botswana’s marriage case turns on legal interpretation</w:t>
      </w:r>
      <w:r/>
    </w:p>
    <w:p>
      <w:r/>
      <w:r>
        <w:t xml:space="preserve">The case puts a complex question into sharp focus: how should Botswana’s Constitution and marriage laws be interpreted when a same-sex couple seeks legal recognition? Research for the litigation has examined the country’s Marriage Act, constitutional provisions and relevant court decisions. It’s a dense subject, but the stakes are unmistakably personal. </w:t>
      </w:r>
      <w:hyperlink r:id="rId9">
        <w:r>
          <w:rPr>
            <w:color w:val="0000EE"/>
            <w:u w:val="single"/>
          </w:rPr>
          <w:t>[2]</w:t>
        </w:r>
      </w:hyperlink>
      <w:r>
        <w:rPr>
          <w:b/>
        </w:rPr>
        <w:t xml:space="preserve">, </w:t>
      </w:r>
      <w:hyperlink r:id="rId10">
        <w:r>
          <w:rPr>
            <w:color w:val="0000EE"/>
            <w:u w:val="single"/>
          </w:rPr>
          <w:t>[5]</w:t>
        </w:r>
      </w:hyperlink>
      <w:r/>
    </w:p>
    <w:p>
      <w:r/>
      <w:r>
        <w:t xml:space="preserve">The Southern Africa Litigation Centre has documented legal arguments concerning the rights of same-sex couples to marry in Botswana. Reporting by The Guardian has also brought attention to the couple at the centre of the court challenge, showing how constitutional questions affect everyday relationships and recognition. </w:t>
      </w:r>
      <w:hyperlink r:id="rId9">
        <w:r>
          <w:rPr>
            <w:color w:val="0000EE"/>
            <w:u w:val="single"/>
          </w:rPr>
          <w:t>[2]</w:t>
        </w:r>
      </w:hyperlink>
      <w:r>
        <w:rPr>
          <w:b/>
        </w:rPr>
        <w:t xml:space="preserve">, </w:t>
      </w:r>
      <w:hyperlink r:id="rId10">
        <w:r>
          <w:rPr>
            <w:color w:val="0000EE"/>
            <w:u w:val="single"/>
          </w:rPr>
          <w:t>[5]</w:t>
        </w:r>
      </w:hyperlink>
      <w:r/>
    </w:p>
    <w:p>
      <w:pPr>
        <w:pStyle w:val="Heading2"/>
      </w:pPr>
      <w:r>
        <w:t>Why neighbouring countries matter, but don't settle the question</w:t>
      </w:r>
      <w:r/>
    </w:p>
    <w:p>
      <w:r/>
      <w:r>
        <w:t xml:space="preserve">Researchers compared Botswana’s legal framework with developments in nearby African jurisdictions, as well as selected cases outside the continent. Such comparisons can help lawyers identify how other courts have approached constitutional meaning and marriage legislation. </w:t>
      </w:r>
      <w:hyperlink r:id="rId9">
        <w:r>
          <w:rPr>
            <w:color w:val="0000EE"/>
            <w:u w:val="single"/>
          </w:rPr>
          <w:t>[2]</w:t>
        </w:r>
      </w:hyperlink>
      <w:r>
        <w:rPr>
          <w:b/>
        </w:rPr>
        <w:t xml:space="preserve">, </w:t>
      </w:r>
      <w:hyperlink r:id="rId11">
        <w:r>
          <w:rPr>
            <w:color w:val="0000EE"/>
            <w:u w:val="single"/>
          </w:rPr>
          <w:t>[3]</w:t>
        </w:r>
      </w:hyperlink>
      <w:r>
        <w:rPr>
          <w:b/>
        </w:rPr>
        <w:t xml:space="preserve">, </w:t>
      </w:r>
      <w:hyperlink r:id="rId12">
        <w:r>
          <w:rPr>
            <w:color w:val="0000EE"/>
            <w:u w:val="single"/>
          </w:rPr>
          <w:t>[7]</w:t>
        </w:r>
      </w:hyperlink>
      <w:r/>
    </w:p>
    <w:p>
      <w:r/>
      <w:r>
        <w:t xml:space="preserve">But legal precedent doesn’t travel neatly across borders. Each country has its own constitutional structure, legislative history and social context, so a ruling elsewhere may offer perspective without determining the outcome in Botswana. That distinction is especially important in comparative law, where similarities can be illuminating but differences matter just as much. </w:t>
      </w:r>
      <w:hyperlink r:id="rId11">
        <w:r>
          <w:rPr>
            <w:color w:val="0000EE"/>
            <w:u w:val="single"/>
          </w:rPr>
          <w:t>[3]</w:t>
        </w:r>
      </w:hyperlink>
      <w:r>
        <w:rPr>
          <w:b/>
        </w:rPr>
        <w:t xml:space="preserve">, </w:t>
      </w:r>
      <w:hyperlink r:id="rId12">
        <w:r>
          <w:rPr>
            <w:color w:val="0000EE"/>
            <w:u w:val="single"/>
          </w:rPr>
          <w:t>[7]</w:t>
        </w:r>
      </w:hyperlink>
      <w:r/>
    </w:p>
    <w:p>
      <w:pPr>
        <w:pStyle w:val="Heading2"/>
      </w:pPr>
      <w:r>
        <w:t>The wider African picture is changing</w:t>
      </w:r>
      <w:r/>
    </w:p>
    <w:p>
      <w:r/>
      <w:r>
        <w:t xml:space="preserve">Botswana’s case sits within a wider regional debate about the legal recognition and rights of LGBTQIA+ people. The Guardian and El País have reported on the couple’s challenge as a significant moment, while Legabibo and OutRight International provide broader context on LGBTQIA+ rights and advocacy in Botswana. </w:t>
      </w:r>
      <w:hyperlink r:id="rId11">
        <w:r>
          <w:rPr>
            <w:color w:val="0000EE"/>
            <w:u w:val="single"/>
          </w:rPr>
          <w:t>[3]</w:t>
        </w:r>
      </w:hyperlink>
      <w:r>
        <w:rPr>
          <w:b/>
        </w:rPr>
        <w:t xml:space="preserve">, </w:t>
      </w:r>
      <w:hyperlink r:id="rId10">
        <w:r>
          <w:rPr>
            <w:color w:val="0000EE"/>
            <w:u w:val="single"/>
          </w:rPr>
          <w:t>[5]</w:t>
        </w:r>
      </w:hyperlink>
      <w:r>
        <w:rPr>
          <w:b/>
        </w:rPr>
        <w:t xml:space="preserve">, </w:t>
      </w:r>
      <w:hyperlink r:id="rId13">
        <w:r>
          <w:rPr>
            <w:color w:val="0000EE"/>
            <w:u w:val="single"/>
          </w:rPr>
          <w:t>[6]</w:t>
        </w:r>
      </w:hyperlink>
      <w:r>
        <w:rPr>
          <w:b/>
        </w:rPr>
        <w:t xml:space="preserve">, </w:t>
      </w:r>
      <w:hyperlink r:id="rId12">
        <w:r>
          <w:rPr>
            <w:color w:val="0000EE"/>
            <w:u w:val="single"/>
          </w:rPr>
          <w:t>[7]</w:t>
        </w:r>
      </w:hyperlink>
      <w:r/>
    </w:p>
    <w:p>
      <w:r/>
      <w:r>
        <w:t xml:space="preserve">That wider attention can help readers understand why the litigation matters, but the immediate legal questions remain specific: what do Botswana’s laws say, how should its Constitution be read, and what authority should courts give to examples from elsewhere? Keeping those questions separate makes the case easier to follow without flattening its complexity. </w:t>
      </w:r>
      <w:hyperlink r:id="rId9">
        <w:r>
          <w:rPr>
            <w:color w:val="0000EE"/>
            <w:u w:val="single"/>
          </w:rPr>
          <w:t>[2]</w:t>
        </w:r>
      </w:hyperlink>
      <w:r>
        <w:rPr>
          <w:b/>
        </w:rPr>
        <w:t xml:space="preserve">, </w:t>
      </w:r>
      <w:hyperlink r:id="rId14">
        <w:r>
          <w:rPr>
            <w:color w:val="0000EE"/>
            <w:u w:val="single"/>
          </w:rPr>
          <w:t>[4]</w:t>
        </w:r>
      </w:hyperlink>
      <w:r>
        <w:rPr>
          <w:b/>
        </w:rPr>
        <w:t xml:space="preserve">, </w:t>
      </w:r>
      <w:hyperlink r:id="rId12">
        <w:r>
          <w:rPr>
            <w:color w:val="0000EE"/>
            <w:u w:val="single"/>
          </w:rPr>
          <w:t>[7]</w:t>
        </w:r>
      </w:hyperlink>
      <w:r/>
    </w:p>
    <w:p>
      <w:pPr>
        <w:pStyle w:val="Heading2"/>
      </w:pPr>
      <w:r>
        <w:t>What comparative legal research can - and can't - do</w:t>
      </w:r>
      <w:r/>
    </w:p>
    <w:p>
      <w:r/>
      <w:r>
        <w:t xml:space="preserve">The Regent University project involved reviewing legislation, constitutional provisions and judicial decisions, then setting them alongside approaches in other jurisdictions. For lawyers handling cross-border legal questions, that kind of research can reveal useful arguments and clarify where legal systems diverge. </w:t>
      </w:r>
      <w:hyperlink r:id="rId9">
        <w:r>
          <w:rPr>
            <w:color w:val="0000EE"/>
            <w:u w:val="single"/>
          </w:rPr>
          <w:t>[2]</w:t>
        </w:r>
      </w:hyperlink>
      <w:r>
        <w:rPr>
          <w:b/>
        </w:rPr>
        <w:t xml:space="preserve">, </w:t>
      </w:r>
      <w:hyperlink r:id="rId11">
        <w:r>
          <w:rPr>
            <w:color w:val="0000EE"/>
            <w:u w:val="single"/>
          </w:rPr>
          <w:t>[3]</w:t>
        </w:r>
      </w:hyperlink>
      <w:r/>
    </w:p>
    <w:p>
      <w:r/>
      <w:r>
        <w:t xml:space="preserve">For readers following the case, a practical tip is to distinguish between a court decision, an advocacy organisation’s position and a news report about proceedings. Each can add context, but they serve different purposes. Checking the underlying legal material helps show which points are established law and which remain part of an ongoing argument. </w:t>
      </w:r>
      <w:hyperlink r:id="rId9">
        <w:r>
          <w:rPr>
            <w:color w:val="0000EE"/>
            <w:u w:val="single"/>
          </w:rPr>
          <w:t>[2]</w:t>
        </w:r>
      </w:hyperlink>
      <w:r>
        <w:rPr>
          <w:b/>
        </w:rPr>
        <w:t xml:space="preserve">, </w:t>
      </w:r>
      <w:hyperlink r:id="rId14">
        <w:r>
          <w:rPr>
            <w:color w:val="0000EE"/>
            <w:u w:val="single"/>
          </w:rPr>
          <w:t>[4]</w:t>
        </w:r>
      </w:hyperlink>
      <w:r>
        <w:rPr>
          <w:b/>
        </w:rPr>
        <w:t xml:space="preserve">, </w:t>
      </w:r>
      <w:hyperlink r:id="rId12">
        <w:r>
          <w:rPr>
            <w:color w:val="0000EE"/>
            <w:u w:val="single"/>
          </w:rPr>
          <w:t>[7]</w:t>
        </w:r>
      </w:hyperlink>
      <w:r/>
    </w:p>
    <w:p>
      <w:pPr>
        <w:pStyle w:val="Heading2"/>
      </w:pPr>
      <w:r>
        <w:t>The outcome will matter beyond the courtroom</w:t>
      </w:r>
      <w:r/>
    </w:p>
    <w:p>
      <w:r/>
      <w:r>
        <w:t xml:space="preserve">The litigation has drawn attention to the relationship between constitutional interpretation, legislative authority and marriage recognition in Botswana. The research project offers a behind-the-scenes look at how legal teams build context for difficult cases, especially when foreign rulings may be relevant but cannot simply be transplanted. </w:t>
      </w:r>
      <w:hyperlink r:id="rId9">
        <w:r>
          <w:rPr>
            <w:color w:val="0000EE"/>
            <w:u w:val="single"/>
          </w:rPr>
          <w:t>[2]</w:t>
        </w:r>
      </w:hyperlink>
      <w:r>
        <w:rPr>
          <w:b/>
        </w:rPr>
        <w:t xml:space="preserve">, </w:t>
      </w:r>
      <w:hyperlink r:id="rId10">
        <w:r>
          <w:rPr>
            <w:color w:val="0000EE"/>
            <w:u w:val="single"/>
          </w:rPr>
          <w:t>[5]</w:t>
        </w:r>
      </w:hyperlink>
      <w:r>
        <w:rPr>
          <w:b/>
        </w:rPr>
        <w:t xml:space="preserve">, </w:t>
      </w:r>
      <w:hyperlink r:id="rId13">
        <w:r>
          <w:rPr>
            <w:color w:val="0000EE"/>
            <w:u w:val="single"/>
          </w:rPr>
          <w:t>[6]</w:t>
        </w:r>
      </w:hyperlink>
      <w:r/>
    </w:p>
    <w:p>
      <w:r/>
      <w:r>
        <w:t xml:space="preserve">For the couple involved, the issue is not abstract: it concerns whether their relationship can receive legal recognition. For the rest of us, the case is a reminder that constitutional debates often reach far beyond courtrooms, into the ordinary ways people live and plan their lives. </w:t>
      </w:r>
      <w:hyperlink r:id="rId10">
        <w:r>
          <w:rPr>
            <w:color w:val="0000EE"/>
            <w:u w:val="single"/>
          </w:rPr>
          <w:t>[5]</w:t>
        </w:r>
      </w:hyperlink>
      <w:r>
        <w:rPr>
          <w:b/>
        </w:rPr>
        <w:t xml:space="preserve">, </w:t>
      </w:r>
      <w:hyperlink r:id="rId13">
        <w:r>
          <w:rPr>
            <w:color w:val="0000EE"/>
            <w:u w:val="single"/>
          </w:rPr>
          <w:t>[6]</w:t>
        </w:r>
      </w:hyperlink>
      <w:r/>
    </w:p>
    <w:p>
      <w:r/>
      <w:r>
        <w:t>Follow the case through reliable legal and news sources as proceedings develop.</w:t>
      </w:r>
      <w:r/>
    </w:p>
    <w:p>
      <w:pPr>
        <w:pStyle w:val="Heading3"/>
      </w:pPr>
      <w:r>
        <w:t>Source Reference Map</w:t>
      </w:r>
      <w:r/>
    </w:p>
    <w:p>
      <w:r/>
      <w:r>
        <w:rPr>
          <w:b/>
        </w:rPr>
        <w:t>Story idea inspired by:</w:t>
      </w:r>
      <w:r>
        <w:t xml:space="preserve"> </w:t>
      </w:r>
      <w:hyperlink r:id="rId15">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[5]</w:t>
        </w:r>
      </w:hyperlink>
      <w:r>
        <w:t xml:space="preserve">- Paragraph 2: </w:t>
      </w:r>
      <w:hyperlink r:id="rId9">
        <w:r>
          <w:rPr>
            <w:color w:val="0000EE"/>
            <w:u w:val="single"/>
          </w:rPr>
          <w:t>[2]</w:t>
        </w:r>
      </w:hyperlink>
      <w:r>
        <w:t xml:space="preserve">, </w:t>
      </w:r>
      <w:hyperlink r:id="rId10">
        <w:r>
          <w:rPr>
            <w:color w:val="0000EE"/>
            <w:u w:val="single"/>
          </w:rPr>
          <w:t>[5]</w:t>
        </w:r>
      </w:hyperlink>
      <w:r>
        <w:t xml:space="preserve">- Paragraph 3: </w:t>
      </w:r>
      <w:hyperlink r:id="rId9">
        <w:r>
          <w:rPr>
            <w:color w:val="0000EE"/>
            <w:u w:val="single"/>
          </w:rPr>
          <w:t>[2]</w:t>
        </w:r>
      </w:hyperlink>
      <w:r>
        <w:t xml:space="preserve">, </w:t>
      </w:r>
      <w:hyperlink r:id="rId11">
        <w:r>
          <w:rPr>
            <w:color w:val="0000EE"/>
            <w:u w:val="single"/>
          </w:rPr>
          <w:t>[3]</w:t>
        </w:r>
      </w:hyperlink>
      <w:r>
        <w:t xml:space="preserve">, </w:t>
      </w:r>
      <w:hyperlink r:id="rId12">
        <w:r>
          <w:rPr>
            <w:color w:val="0000EE"/>
            <w:u w:val="single"/>
          </w:rPr>
          <w:t>[7]</w:t>
        </w:r>
      </w:hyperlink>
      <w:r>
        <w:t xml:space="preserve">- Paragraph 4: </w:t>
      </w:r>
      <w:hyperlink r:id="rId11">
        <w:r>
          <w:rPr>
            <w:color w:val="0000EE"/>
            <w:u w:val="single"/>
          </w:rPr>
          <w:t>[3]</w:t>
        </w:r>
      </w:hyperlink>
      <w:r>
        <w:t xml:space="preserve">, </w:t>
      </w:r>
      <w:hyperlink r:id="rId12">
        <w:r>
          <w:rPr>
            <w:color w:val="0000EE"/>
            <w:u w:val="single"/>
          </w:rPr>
          <w:t>[7]</w:t>
        </w:r>
      </w:hyperlink>
      <w:r>
        <w:t xml:space="preserve">- Paragraph 5: </w:t>
      </w:r>
      <w:hyperlink r:id="rId11">
        <w:r>
          <w:rPr>
            <w:color w:val="0000EE"/>
            <w:u w:val="single"/>
          </w:rPr>
          <w:t>[3]</w:t>
        </w:r>
      </w:hyperlink>
      <w:r>
        <w:t xml:space="preserve">, </w:t>
      </w:r>
      <w:hyperlink r:id="rId10">
        <w:r>
          <w:rPr>
            <w:color w:val="0000EE"/>
            <w:u w:val="single"/>
          </w:rPr>
          <w:t>[5]</w:t>
        </w:r>
      </w:hyperlink>
      <w:r>
        <w:t xml:space="preserve">, </w:t>
      </w:r>
      <w:hyperlink r:id="rId13">
        <w:r>
          <w:rPr>
            <w:color w:val="0000EE"/>
            <w:u w:val="single"/>
          </w:rPr>
          <w:t>[6]</w:t>
        </w:r>
      </w:hyperlink>
      <w:r>
        <w:t xml:space="preserve">, </w:t>
      </w:r>
      <w:hyperlink r:id="rId12">
        <w:r>
          <w:rPr>
            <w:color w:val="0000EE"/>
            <w:u w:val="single"/>
          </w:rPr>
          <w:t>[7]</w:t>
        </w:r>
      </w:hyperlink>
      <w:r>
        <w:t xml:space="preserve">- Paragraph 6: </w:t>
      </w:r>
      <w:hyperlink r:id="rId9">
        <w:r>
          <w:rPr>
            <w:color w:val="0000EE"/>
            <w:u w:val="single"/>
          </w:rPr>
          <w:t>[2]</w:t>
        </w:r>
      </w:hyperlink>
      <w:r>
        <w:t xml:space="preserve">, </w:t>
      </w:r>
      <w:hyperlink r:id="rId14">
        <w:r>
          <w:rPr>
            <w:color w:val="0000EE"/>
            <w:u w:val="single"/>
          </w:rPr>
          <w:t>[4]</w:t>
        </w:r>
      </w:hyperlink>
      <w:r>
        <w:t xml:space="preserve">, </w:t>
      </w:r>
      <w:hyperlink r:id="rId12">
        <w:r>
          <w:rPr>
            <w:color w:val="0000EE"/>
            <w:u w:val="single"/>
          </w:rPr>
          <w:t>[7]</w:t>
        </w:r>
      </w:hyperlink>
      <w:r>
        <w:t xml:space="preserve">- Paragraph 7: </w:t>
      </w:r>
      <w:hyperlink r:id="rId9">
        <w:r>
          <w:rPr>
            <w:color w:val="0000EE"/>
            <w:u w:val="single"/>
          </w:rPr>
          <w:t>[2]</w:t>
        </w:r>
      </w:hyperlink>
      <w:r>
        <w:t xml:space="preserve">, </w:t>
      </w:r>
      <w:hyperlink r:id="rId11">
        <w:r>
          <w:rPr>
            <w:color w:val="0000EE"/>
            <w:u w:val="single"/>
          </w:rPr>
          <w:t>[3]</w:t>
        </w:r>
      </w:hyperlink>
      <w:r>
        <w:t xml:space="preserve">- Paragraph 8: </w:t>
      </w:r>
      <w:hyperlink r:id="rId10">
        <w:r>
          <w:rPr>
            <w:color w:val="0000EE"/>
            <w:u w:val="single"/>
          </w:rPr>
          <w:t>[5]</w:t>
        </w:r>
      </w:hyperlink>
      <w:r>
        <w:t xml:space="preserve">, </w:t>
      </w:r>
      <w:hyperlink r:id="rId13">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15">
        <w:r>
          <w:rPr>
            <w:color w:val="0000EE"/>
            <w:u w:val="single"/>
          </w:rPr>
          <w:t>https://globaljustice.regent.edu/2026/11/marriage-and-constitutional-interpretation-legal-research-in-botswana/?utm_source=rss&amp;utm_medium=rss&amp;utm_campaign=marriage-and-constitutional-interpretation-legal-research-in-botswana</w:t>
        </w:r>
      </w:hyperlink>
      <w:r>
        <w:t xml:space="preserve"> - Please view link - unable to able to access data</w:t>
      </w:r>
      <w:r/>
    </w:p>
    <w:p>
      <w:pPr>
        <w:pStyle w:val="ListNumber"/>
        <w:spacing w:line="240" w:lineRule="auto"/>
        <w:ind w:left="720"/>
      </w:pPr>
      <w:r/>
      <w:hyperlink r:id="rId9">
        <w:r>
          <w:rPr>
            <w:color w:val="0000EE"/>
            <w:u w:val="single"/>
          </w:rPr>
          <w:t>https://www.southernafricalitigationcentre.org/botswana-affirming-the-right-of-same-sex-couples-to-get-married/</w:t>
        </w:r>
      </w:hyperlink>
      <w:r>
        <w:t xml:space="preserve"> - The Southern Africa Litigation Centre explains the legal challenge brought by Bonolo Selelo and Tsholofelo Kumile after Botswana’s civil registration authorities refused to process their intended marriage. The applicants seek judicial review of that decision and challenge its compatibility with constitutional rights, including equality and freedom of expression. They also ask the court to determine whether section 10(2) of the Marriage Act excludes same-sex couples and, if it does, whether that exclusion is unconstitutional. The article outlines the case’s procedural history, the parties’ arguments, and the High Court’s September 2026 decision on applications by organisations and an academic seeking to participate.</w:t>
      </w:r>
      <w:r/>
    </w:p>
    <w:p>
      <w:pPr>
        <w:pStyle w:val="ListNumber"/>
        <w:spacing w:line="240" w:lineRule="auto"/>
        <w:ind w:left="720"/>
      </w:pPr>
      <w:r/>
      <w:hyperlink r:id="rId11">
        <w:r>
          <w:rPr>
            <w:color w:val="0000EE"/>
            <w:u w:val="single"/>
          </w:rPr>
          <w:t>https://legabibo.org.bw/news/ec9a6366-86f8-47b1-a944-cd5e9174eed3</w:t>
        </w:r>
      </w:hyperlink>
      <w:r>
        <w:t xml:space="preserve"> - LEGABIBO describes its application to join a High Court case about access to civil marriage for same-sex couples in Botswana. The organisation says the outcome could affect lesbian, gay and bisexual people beyond the couple who brought the case, including others who may wish to marry. It explains joinder as a process through which an affected person or organisation asks permission to participate in proceedings. LEGABIBO frames the case as raising questions about equality, dignity and the treatment of citizens under the Constitution. The article also clarifies that the organisation’s application is intended to add affected community perspectives, not replace the applicants.</w:t>
      </w:r>
      <w:r/>
    </w:p>
    <w:p>
      <w:pPr>
        <w:pStyle w:val="ListNumber"/>
        <w:spacing w:line="240" w:lineRule="auto"/>
        <w:ind w:left="720"/>
      </w:pPr>
      <w:r/>
      <w:hyperlink r:id="rId14">
        <w:r>
          <w:rPr>
            <w:color w:val="0000EE"/>
            <w:u w:val="single"/>
          </w:rPr>
          <w:t>https://dailynews.gov.bw/news-detail/90440</w:t>
        </w:r>
      </w:hyperlink>
      <w:r>
        <w:t xml:space="preserve"> - Botswana’s government news service reports that Bonolo Selelo and Tsholofelo Kumile challenged the constitutionality of the Marriage Act before the High Court, arguing that it should not prohibit same-sex marriages. The article describes opposition to the case from religious and community organisations, and notes the applicants’ response to that opposition. It also sets the litigation against the background of Botswana’s earlier constitutional case concerning criminalisation of same-sex relations. That 2019 High Court ruling was upheld by the Court of Appeal in 2021. The report therefore supports the article’s discussion of ongoing litigation, constitutional interpretation and Botswana’s relevant judicial history.</w:t>
      </w:r>
      <w:r/>
    </w:p>
    <w:p>
      <w:pPr>
        <w:pStyle w:val="ListNumber"/>
        <w:spacing w:line="240" w:lineRule="auto"/>
        <w:ind w:left="720"/>
      </w:pPr>
      <w:r/>
      <w:hyperlink r:id="rId10">
        <w:r>
          <w:rPr>
            <w:color w:val="0000EE"/>
            <w:u w:val="single"/>
          </w:rPr>
          <w:t>https://www.theguardian.com/world/2026/may/25/same-sex-marriage-botswana-couple-court</w:t>
        </w:r>
      </w:hyperlink>
      <w:r>
        <w:t xml:space="preserve"> - The Guardian profiles the Botswana couple seeking legal recognition of their marriage and describes the dispute as a significant test of the country’s law and constitutional protections. It reports the government’s position that the Marriage Act contemplates marriage between a man and a woman, alongside the applicants’ challenge to that interpretation. The article also provides social and political context, including the role of religious opposition and the experiences of LGBTQ+ people in Botswana. Its account helps explain why the case involves more than statutory wording: it concerns how constitutional rights, legal institutions and differing social perspectives inform the interpretation of marriage law.</w:t>
      </w:r>
      <w:r/>
    </w:p>
    <w:p>
      <w:pPr>
        <w:pStyle w:val="ListNumber"/>
        <w:spacing w:line="240" w:lineRule="auto"/>
        <w:ind w:left="720"/>
      </w:pPr>
      <w:r/>
      <w:hyperlink r:id="rId13">
        <w:r>
          <w:rPr>
            <w:color w:val="0000EE"/>
            <w:u w:val="single"/>
          </w:rPr>
          <w:t>https://english.elpais.com/international/2026-07-04/a-black-lesbian-couples-legal-battle-in-botswana-marks-a-milestone-for-africa-we-love-each-other-and-that-is-all-that-matters.html?outputType=amp</w:t>
        </w:r>
      </w:hyperlink>
      <w:r>
        <w:t xml:space="preserve"> - EL PAÍS reports on Selelo and Kumile’s effort to challenge Botswana’s refusal to register their intended marriage. The article outlines the government’s position and opposition from religious and conservative groups, then presents the couple’s arguments about equal rights, dignity and recognition. It describes how officials turned them away and discusses the practical consequences they say follow from lacking legal recognition, including difficulties concerning inheritance and medical decisions. The report also places the litigation within a broader African context and includes commentary from a regional legal advocacy organisation. It supports the source article’s focus on comparative legal research and the distinct context surrounding each jurisdiction.</w:t>
      </w:r>
      <w:r/>
    </w:p>
    <w:p>
      <w:pPr>
        <w:pStyle w:val="ListNumber"/>
        <w:spacing w:line="240" w:lineRule="auto"/>
        <w:ind w:left="720"/>
      </w:pPr>
      <w:r/>
      <w:hyperlink r:id="rId12">
        <w:r>
          <w:rPr>
            <w:color w:val="0000EE"/>
            <w:u w:val="single"/>
          </w:rPr>
          <w:t>https://outrightinternational.org/our-work/sub-saharan-africa/botswana</w:t>
        </w:r>
      </w:hyperlink>
      <w:r>
        <w:t xml:space="preserve"> - Outright International summarises developments in Botswana’s legal and social environment for LGBTQ+ people. It describes court decisions concerning registration of an advocacy organisation, transgender people’s legal gender recognition and the decriminalisation of consensual same-sex relations. The page notes that the decriminalisation decision was upheld on appeal. It also distinguishes those advances from the current position on marriage: Botswana has not legalised same-sex marriage or formally recognised it, even though the country’s marriage laws do not expressly state that such marriages must be excluded. This overview provides useful background for understanding why constitutional interpretation, statutory wording and the history of local judicial decisions matter in the ongoing marriage case.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southernafricalitigationcentre.org/botswana-affirming-the-right-of-same-sex-couples-to-get-married/" TargetMode="External"/><Relationship Id="rId10" Type="http://schemas.openxmlformats.org/officeDocument/2006/relationships/hyperlink" Target="https://www.theguardian.com/world/2026/may/25/same-sex-marriage-botswana-couple-court" TargetMode="External"/><Relationship Id="rId11" Type="http://schemas.openxmlformats.org/officeDocument/2006/relationships/hyperlink" Target="https://legabibo.org.bw/news/ec9a6366-86f8-47b1-a944-cd5e9174eed3" TargetMode="External"/><Relationship Id="rId12" Type="http://schemas.openxmlformats.org/officeDocument/2006/relationships/hyperlink" Target="https://outrightinternational.org/our-work/sub-saharan-africa/botswana" TargetMode="External"/><Relationship Id="rId13" Type="http://schemas.openxmlformats.org/officeDocument/2006/relationships/hyperlink" Target="https://english.elpais.com/international/2026-07-04/a-black-lesbian-couples-legal-battle-in-botswana-marks-a-milestone-for-africa-we-love-each-other-and-that-is-all-that-matters.html?outputType=amp" TargetMode="External"/><Relationship Id="rId14" Type="http://schemas.openxmlformats.org/officeDocument/2006/relationships/hyperlink" Target="https://dailynews.gov.bw/news-detail/90440" TargetMode="External"/><Relationship Id="rId15" Type="http://schemas.openxmlformats.org/officeDocument/2006/relationships/hyperlink" Target="https://globaljustice.regent.edu/2026/11/marriage-and-constitutional-interpretation-legal-research-in-botswana/?utm_source=rss&amp;utm_medium=rss&amp;utm_campaign=marriage-and-constitutional-interpretation-legal-research-in-botswana"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