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Beauty Brands Supporting Pride With Year-Round Action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Beauty brands are marking Pride with more than rainbow packaging, from MAC’s fundraising lipsticks to Deciem’s community donations and Aesop’s queer book collection. The initiatives arrive in a season rooted in LGBTQ+ history and culture, and offer a useful way to look beyond the campaign visuals: who’s involved, what’s being given back and how support reaches the community.</w:t>
      </w:r>
      <w:r/>
    </w:p>
    <w:p>
      <w:pPr>
        <w:pStyle w:val="Heading2"/>
      </w:pPr>
      <w:r>
        <w:t>Pride beauty campaigns put action in focus</w:t>
      </w:r>
      <w:r/>
    </w:p>
    <w:p>
      <w:r/>
      <w:r>
        <w:t>A striking lipstick can catch the eye, but what a Pride campaign gives back matters more. MAC’s VIVA GLAM collection features three limited-edition lip shades, with 100 per cent of the selling price going to support its causes. The brand has also pledged $300,000 to Chappell Roan’s Midwest Princess Project and partner trans-led charities. (MAC Cosmetics)</w:t>
      </w:r>
      <w:r/>
    </w:p>
    <w:p>
      <w:r/>
      <w:r>
        <w:t>That focus on giving is especially relevant in an industry shaped by queer creatives, artists and communities. Pride Month has been observed in June in remembrance of the Stonewall uprising and as a celebration of LGBTQ+ lives and rights. (Library of Congress)</w:t>
      </w:r>
      <w:r/>
    </w:p>
    <w:p>
      <w:pPr>
        <w:pStyle w:val="Heading2"/>
      </w:pPr>
      <w:r>
        <w:t>MAC’s VIVA GLAM puts its proceeds to work</w:t>
      </w:r>
      <w:r/>
    </w:p>
    <w:p>
      <w:r/>
      <w:r>
        <w:t>MAC has made fundraising central to VIVA GLAM, rather than treating it as a seasonal flourish. The brand says the initiative supports organisations working towards healthy futures and equal rights for all. (MAC Cosmetics)</w:t>
      </w:r>
      <w:r/>
    </w:p>
    <w:p>
      <w:r/>
      <w:r>
        <w:t>For shoppers, the practical detail is simple: check how a product contributes before buying. Here, MAC says the full selling price of the limited-edition lip shades goes towards the campaign, making the offer clearer than a vague promise to “support” a cause. (MAC Cosmetics)</w:t>
      </w:r>
      <w:r/>
    </w:p>
    <w:p>
      <w:pPr>
        <w:pStyle w:val="Heading2"/>
      </w:pPr>
      <w:r>
        <w:t>Deciem pairs storytelling with donations</w:t>
      </w:r>
      <w:r/>
    </w:p>
    <w:p>
      <w:r/>
      <w:r>
        <w:t>Deciem, the company behind The Ordinary, NIOD and Loopha, has paired a queer storytelling campaign with ongoing support for 2SLGBTQIA+ organisations. The company reports that its donations to such organisations worldwide have totalled more than $2.7 million Canadian dollars since 2024. (Deciem)</w:t>
      </w:r>
      <w:r/>
    </w:p>
    <w:p>
      <w:r/>
      <w:r>
        <w:t>The mix of storytelling and funding feels more meaningful than a polished campaign alone. It also gives shoppers two things to look for when comparing Pride beauty initiatives: whose experiences are represented, and whether the brand identifies a tangible contribution. (Deciem)</w:t>
      </w:r>
      <w:r/>
    </w:p>
    <w:p>
      <w:pPr>
        <w:pStyle w:val="Heading2"/>
      </w:pPr>
      <w:r>
        <w:t>Oribe celebrates queer artists and community figures</w:t>
      </w:r>
      <w:r/>
    </w:p>
    <w:p>
      <w:r/>
      <w:r>
        <w:t>Oribe’s Pride campaign turns the spotlight towards New York community leaders and artists, including Amanda Lepore, Ceyenne Doroshow, Maya Margarita and Ananina. The haircare brand presents the campaign as a celebration of LGBTQ+ voices and identity. (Oribe)</w:t>
      </w:r>
      <w:r/>
    </w:p>
    <w:p>
      <w:r/>
      <w:r>
        <w:t>Representation matters in beauty, where makeup and hair can be tools for play, self-expression and confidence. That’s particularly clear in the work of queer makeup artists and performers, whose influence has helped shape the industry’s visual language. (BeautyMatter; Oribe)</w:t>
      </w:r>
      <w:r/>
    </w:p>
    <w:p>
      <w:pPr>
        <w:pStyle w:val="Heading2"/>
      </w:pPr>
      <w:r>
        <w:t>Aesop’s Queer Library offers a quieter kind of celebration</w:t>
      </w:r>
      <w:r/>
    </w:p>
    <w:p>
      <w:r/>
      <w:r>
        <w:t>Aesop’s Queer Library takes a different route from a limited-edition product drop. Its Soho store takeover invites visitors to choose a complimentary book by one of 33 LGBTQIA+ authors, turning a shop visit into a chance to discover new writing. (Broadsheet)</w:t>
      </w:r>
      <w:r/>
    </w:p>
    <w:p>
      <w:r/>
      <w:r>
        <w:t>It’s a thoughtful reminder that Pride support doesn’t have to arrive in a bottle or lipstick case. A book can open up space for curiosity, recognition and conversation, which is its own kind of welcome. (Broadsheet)</w:t>
      </w:r>
      <w:r/>
    </w:p>
    <w:p>
      <w:pPr>
        <w:pStyle w:val="Heading2"/>
      </w:pPr>
      <w:r>
        <w:t>What to look for in a Pride beauty launch</w:t>
      </w:r>
      <w:r/>
    </w:p>
    <w:p>
      <w:r/>
      <w:r>
        <w:t>Before buying, check whether the brand names its partner organisations, explains how much money is being donated and makes clear when the initiative runs. Those details help distinguish a specific commitment from a seasonal design or slogan. (MAC Cosmetics; Deciem)</w:t>
      </w:r>
      <w:r/>
    </w:p>
    <w:p>
      <w:r/>
      <w:r>
        <w:t>It’s also worth noticing who appears in the campaign and whether their stories are treated with care. No single product can sum up a community, but clear contributions and meaningful representation make a more convincing start. (Oribe; BeautyMatter)</w:t>
      </w:r>
      <w:r/>
    </w:p>
    <w:p>
      <w:r/>
      <w:r>
        <w:t>A good Pride beauty campaign should leave more behind than a bright new shade.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Paragraph 2: </w:t>
      </w:r>
      <w:hyperlink r:id="rId11">
        <w:r>
          <w:rPr>
            <w:color w:val="0000EE"/>
            <w:u w:val="single"/>
          </w:rPr>
          <w:t>[2]</w:t>
        </w:r>
      </w:hyperlink>
      <w:r>
        <w:t xml:space="preserve">- Paragraph 3: </w:t>
      </w:r>
      <w:hyperlink r:id="rId10">
        <w:r>
          <w:rPr>
            <w:color w:val="0000EE"/>
            <w:u w:val="single"/>
          </w:rPr>
          <w:t>[4]</w:t>
        </w:r>
      </w:hyperlink>
      <w:r>
        <w:t xml:space="preserve">- Paragraph 4: </w:t>
      </w:r>
      <w:hyperlink r:id="rId10">
        <w:r>
          <w:rPr>
            <w:color w:val="0000EE"/>
            <w:u w:val="single"/>
          </w:rPr>
          <w:t>[4]</w:t>
        </w:r>
      </w:hyperlink>
      <w:r>
        <w:t xml:space="preserve">- Paragraph 5: </w:t>
      </w:r>
      <w:hyperlink r:id="rId12">
        <w:r>
          <w:rPr>
            <w:color w:val="0000EE"/>
            <w:u w:val="single"/>
          </w:rPr>
          <w:t>[5]</w:t>
        </w:r>
      </w:hyperlink>
      <w:r>
        <w:t xml:space="preserve">- Paragraph 6: </w:t>
      </w:r>
      <w:hyperlink r:id="rId12">
        <w:r>
          <w:rPr>
            <w:color w:val="0000EE"/>
            <w:u w:val="single"/>
          </w:rPr>
          <w:t>[5]</w:t>
        </w:r>
      </w:hyperlink>
      <w:r>
        <w:t xml:space="preserve">- Paragraph 7: </w:t>
      </w:r>
      <w:hyperlink r:id="rId13">
        <w:r>
          <w:rPr>
            <w:color w:val="0000EE"/>
            <w:u w:val="single"/>
          </w:rPr>
          <w:t>[6]</w:t>
        </w:r>
      </w:hyperlink>
      <w:r>
        <w:t xml:space="preserve">- Paragraph 8: </w:t>
      </w:r>
      <w:hyperlink r:id="rId14">
        <w:r>
          <w:rPr>
            <w:color w:val="0000EE"/>
            <w:u w:val="single"/>
          </w:rPr>
          <w:t>[3]</w:t>
        </w:r>
      </w:hyperlink>
      <w:r>
        <w:t xml:space="preserve">, </w:t>
      </w:r>
      <w:hyperlink r:id="rId13">
        <w:r>
          <w:rPr>
            <w:color w:val="0000EE"/>
            <w:u w:val="single"/>
          </w:rPr>
          <w:t>[6]</w:t>
        </w:r>
      </w:hyperlink>
      <w:r>
        <w:t xml:space="preserve">- Paragraph 9: </w:t>
      </w:r>
      <w:hyperlink r:id="rId15">
        <w:r>
          <w:rPr>
            <w:color w:val="0000EE"/>
            <w:u w:val="single"/>
          </w:rPr>
          <w:t>[7]</w:t>
        </w:r>
      </w:hyperlink>
      <w:r>
        <w:t xml:space="preserve">- Paragraph 10: </w:t>
      </w:r>
      <w:hyperlink r:id="rId15">
        <w:r>
          <w:rPr>
            <w:color w:val="0000EE"/>
            <w:u w:val="single"/>
          </w:rPr>
          <w:t>[7]</w:t>
        </w:r>
      </w:hyperlink>
      <w:r>
        <w:t xml:space="preserve">- Paragraph 11: </w:t>
      </w:r>
      <w:hyperlink r:id="rId10">
        <w:r>
          <w:rPr>
            <w:color w:val="0000EE"/>
            <w:u w:val="single"/>
          </w:rPr>
          <w:t>[4]</w:t>
        </w:r>
      </w:hyperlink>
      <w:r>
        <w:t xml:space="preserve">, </w:t>
      </w:r>
      <w:hyperlink r:id="rId12">
        <w:r>
          <w:rPr>
            <w:color w:val="0000EE"/>
            <w:u w:val="single"/>
          </w:rPr>
          <w:t>[5]</w:t>
        </w:r>
      </w:hyperlink>
      <w:r>
        <w:t xml:space="preserve">- Paragraph 12: </w:t>
      </w:r>
      <w:hyperlink r:id="rId14">
        <w:r>
          <w:rPr>
            <w:color w:val="0000EE"/>
            <w:u w:val="single"/>
          </w:rPr>
          <w:t>[3]</w:t>
        </w:r>
      </w:hyperlink>
      <w:r>
        <w:t xml:space="preserve">, </w:t>
      </w:r>
      <w:hyperlink r:id="rId13">
        <w:r>
          <w:rPr>
            <w:color w:val="0000EE"/>
            <w:u w:val="single"/>
          </w:rPr>
          <w:t>[6]</w:t>
        </w:r>
      </w:hyperlink>
      <w:r>
        <w:t xml:space="preserve">- Paragraph 13: </w:t>
      </w:r>
      <w:hyperlink r:id="rId10">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https://beautifaire.com/the-beauty-brands-celebrating-pride-this-june/</w:t>
        </w:r>
      </w:hyperlink>
      <w:r>
        <w:t xml:space="preserve"> - Please view link - unable to able to access data</w:t>
      </w:r>
      <w:r/>
    </w:p>
    <w:p>
      <w:pPr>
        <w:pStyle w:val="ListNumber"/>
        <w:spacing w:line="240" w:lineRule="auto"/>
        <w:ind w:left="720"/>
      </w:pPr>
      <w:r/>
      <w:hyperlink r:id="rId11">
        <w:r>
          <w:rPr>
            <w:color w:val="0000EE"/>
            <w:u w:val="single"/>
          </w:rPr>
          <w:t>https://www.loc.gov/lgbt-pride-month/about/</w:t>
        </w:r>
      </w:hyperlink>
      <w:r>
        <w:t xml:space="preserve"> - The Library of Congress explains the history of Pride in the United States, noting that the first New York City Pride march took place on 28 June 1970, one year after the Stonewall Uprising. It describes the march’s origins in activist organising and records that thousands attended the inaugural event. The article also provides historical context for the continuing tradition of gathering in June to celebrate LGBTQ+ lives and advocate for equal rights. Its archival references and documentary material make it a useful source for the article’s account of Pride’s connection to Stonewall and its development into an annual public observance.</w:t>
      </w:r>
      <w:r/>
    </w:p>
    <w:p>
      <w:pPr>
        <w:pStyle w:val="ListNumber"/>
        <w:spacing w:line="240" w:lineRule="auto"/>
        <w:ind w:left="720"/>
      </w:pPr>
      <w:r/>
      <w:hyperlink r:id="rId14">
        <w:r>
          <w:rPr>
            <w:color w:val="0000EE"/>
            <w:u w:val="single"/>
          </w:rPr>
          <w:t>https://beautymatter.com/articles/junior-mintt-on-empowerment-through-makeup-and-black-trans-representation</w:t>
        </w:r>
      </w:hyperlink>
      <w:r>
        <w:t xml:space="preserve"> - BeautyMatter interviews makeup artist Junior Mintt about Black trans representation and the relationship between drag and the beauty business. Mintt argues that drag has helped shape mainstream makeup practices and trends, including contouring, cut creases and distinctive eyeliner styles. The interview emphasises the creative contributions of Black and Brown trans communities and queer makeup artists, while discussing how techniques and aesthetics travel between drag, fashion and commercial beauty. It offers a first-person perspective supporting the article’s broader point that queer culture has been deeply influential in shaping contemporary beauty, rather than existing separately from the industry.</w:t>
      </w:r>
      <w:r/>
    </w:p>
    <w:p>
      <w:pPr>
        <w:pStyle w:val="ListNumber"/>
        <w:spacing w:line="240" w:lineRule="auto"/>
        <w:ind w:left="720"/>
      </w:pPr>
      <w:r/>
      <w:hyperlink r:id="rId10">
        <w:r>
          <w:rPr>
            <w:color w:val="0000EE"/>
            <w:u w:val="single"/>
          </w:rPr>
          <w:t>https://www.maccosmetics.com/pages/viva-glam</w:t>
        </w:r>
      </w:hyperlink>
      <w:r>
        <w:t xml:space="preserve"> - M·A·C’s official VIVA GLAM page describes its charitable beauty campaign and its 2026 collaboration with Chappell Roan. It presents a limited-edition collection of lip products and states that all sales from VIVA GLAM products support charities advancing equality and healthy futures. The page places the collaboration within the campaign’s history, which began in 1994, and reports its cumulative fundraising and reach. It is a primary source for the partnership, products and donation model described in the article, although it does not substantiate every separate detail about the Midwest Princess Project donation.</w:t>
      </w:r>
      <w:r/>
    </w:p>
    <w:p>
      <w:pPr>
        <w:pStyle w:val="ListNumber"/>
        <w:spacing w:line="240" w:lineRule="auto"/>
        <w:ind w:left="720"/>
      </w:pPr>
      <w:r/>
      <w:hyperlink r:id="rId12">
        <w:r>
          <w:rPr>
            <w:color w:val="0000EE"/>
            <w:u w:val="single"/>
          </w:rPr>
          <w:t>https://the-ordinary-nl.prezly.com/deciem-marks-pride-month-with-continued-commitment-to-2slgbtqia-communities</w:t>
        </w:r>
      </w:hyperlink>
      <w:r>
        <w:t xml:space="preserve"> - This DECIEM press release introduces the company’s “Pride Is Still Here” campaign and describes its support for 2SLGBTQIA+ communities throughout the year. It reports that, since 2024, DECIEM has contributed more than CAD $2.7 million to over a dozen organisations globally, naming groups including Rainbow Railroad, Queer Britain, QMUNITY and Minus18. The release also explains the company’s longer-term partnership with Rainbow Railroad and its stated plans for further giving. It directly supports the article’s claims about DECIEM’s donations and Pride campaign, while presenting the information from the company’s own perspective.</w:t>
      </w:r>
      <w:r/>
    </w:p>
    <w:p>
      <w:pPr>
        <w:pStyle w:val="ListNumber"/>
        <w:spacing w:line="240" w:lineRule="auto"/>
        <w:ind w:left="720"/>
      </w:pPr>
      <w:r/>
      <w:hyperlink r:id="rId13">
        <w:r>
          <w:rPr>
            <w:color w:val="0000EE"/>
            <w:u w:val="single"/>
          </w:rPr>
          <w:t>https://www.oribe.com/blogs/community/proud-to-be</w:t>
        </w:r>
      </w:hyperlink>
      <w:r>
        <w:t xml:space="preserve"> - Oribe’s “Proud to Be” campaign article describes its Pride storytelling and profiles LGBTQIA+ artists associated with New York community life. The featured cast includes Amanda Lepore, Ceyenne Doroshow, Maya Margarita and Anania, with short biographies and reflections on visibility, identity and community. Oribe explains that the project was developed in-house and connects its creative approach to the LGBTQIA+ community’s longstanding relationship with the brand. The piece supports the article’s description of Oribe’s campaign and featured artists, though the names and campaign details may differ from the source article’s wording.</w:t>
      </w:r>
      <w:r/>
    </w:p>
    <w:p>
      <w:pPr>
        <w:pStyle w:val="ListNumber"/>
        <w:spacing w:line="240" w:lineRule="auto"/>
        <w:ind w:left="720"/>
      </w:pPr>
      <w:r/>
      <w:hyperlink r:id="rId15">
        <w:r>
          <w:rPr>
            <w:color w:val="0000EE"/>
            <w:u w:val="single"/>
          </w:rPr>
          <w:t>https://www.broadsheet.com/london/articles/aesop-queer-library-2026</w:t>
        </w:r>
      </w:hyperlink>
      <w:r>
        <w:t xml:space="preserve"> - Broadsheet reports on the sixth edition of Aesop’s Queer Library, describing the Soho shop’s transformation into a temporary book library. Visitors can choose a complimentary book, with no purchase required, from a selection by 33 LGBTQIA+ authors. The article notes that the 2026 edition includes works by writers such as Kae Tempest, Lee Lai and Brandon Taylor, and discusses its theme and expanded Reading Room locations. It supports the source article’s claims about Aesop’s free-book initiative, its sixth edition and the number of authors, while providing additional practical details about the event.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eautifaire.com/the-beauty-brands-celebrating-pride-this-june/" TargetMode="External"/><Relationship Id="rId10" Type="http://schemas.openxmlformats.org/officeDocument/2006/relationships/hyperlink" Target="https://www.maccosmetics.com/pages/viva-glam" TargetMode="External"/><Relationship Id="rId11" Type="http://schemas.openxmlformats.org/officeDocument/2006/relationships/hyperlink" Target="https://www.loc.gov/lgbt-pride-month/about/" TargetMode="External"/><Relationship Id="rId12" Type="http://schemas.openxmlformats.org/officeDocument/2006/relationships/hyperlink" Target="https://the-ordinary-nl.prezly.com/deciem-marks-pride-month-with-continued-commitment-to-2slgbtqia-communities" TargetMode="External"/><Relationship Id="rId13" Type="http://schemas.openxmlformats.org/officeDocument/2006/relationships/hyperlink" Target="https://www.oribe.com/blogs/community/proud-to-be" TargetMode="External"/><Relationship Id="rId14" Type="http://schemas.openxmlformats.org/officeDocument/2006/relationships/hyperlink" Target="https://beautymatter.com/articles/junior-mintt-on-empowerment-through-makeup-and-black-trans-representation" TargetMode="External"/><Relationship Id="rId15" Type="http://schemas.openxmlformats.org/officeDocument/2006/relationships/hyperlink" Target="https://www.broadsheet.com/london/articles/aesop-queer-library-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