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2026 Midterm Election Results: LGBTQ Voters and Candidates Make History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delivered a series of landmark LGBTQ election results in the 2026 US midterms, from Virginia’s marriage-equality measure to historic wins by transgender candidates and LGBTQ allies. The outcomes offer a striking counterpoint to campaigns that targeted trans people, and a reminder that voters are also weighing everyday concerns such as jobs and the cost of living.</w:t>
      </w:r>
      <w:r/>
    </w:p>
    <w:p>
      <w:pPr>
        <w:pStyle w:val="Heading2"/>
      </w:pPr>
      <w:r>
        <w:t>LGBTQ election results reshape the political map</w:t>
      </w:r>
      <w:r/>
    </w:p>
    <w:p>
      <w:r/>
      <w:r>
        <w:t>Marriage equality will be written into Virginia’s constitution after voters approved a ballot measure, while Missouri voters rejected a proposal combining an abortion ban with restrictions on transgender healthcare. Together, the results put fundamental rights firmly in the election spotlight. (Axios; AP)</w:t>
      </w:r>
      <w:r/>
    </w:p>
    <w:p>
      <w:r/>
      <w:r>
        <w:t>GLAAD, the LGBTQ media advocacy organisation, also pointed to wins by candidates who spoke up for transgender people and to a shift in control of Congress. Its president, Sarah Kate Ellis, said voters had rejected fear-based campaigning and called for a new era of politics that protects marginalised communities. (GLAAD; AP)</w:t>
      </w:r>
      <w:r/>
    </w:p>
    <w:p>
      <w:pPr>
        <w:pStyle w:val="Heading2"/>
      </w:pPr>
      <w:r>
        <w:t>Transgender candidates made history across the states</w:t>
      </w:r>
      <w:r/>
    </w:p>
    <w:p>
      <w:r/>
      <w:r>
        <w:t>The elections brought notable firsts for transgender representation. Alabama elected its first openly transgender state lawmaker, Allison Montgomery, while Washington elected Jaelynn Scott, the first out Black trans woman in its state House. Georgia and Michigan also elected openly trans lawmakers, Bentley Hudgens and Joanna Whaley. (AP; GLAAD)</w:t>
      </w:r>
      <w:r/>
    </w:p>
    <w:p>
      <w:r/>
      <w:r>
        <w:t>In Congress, Sarah McBride was re-elected, extending her historic role as the first transgender woman elected to the US House. Other LGBTQ candidates also secured prominent victories, including Chris Pappas, elected to the Senate, and J.D. Ford, the first openly gay man elected to Congress from Indiana. (AP; GLAAD)</w:t>
      </w:r>
      <w:r/>
    </w:p>
    <w:p>
      <w:r/>
      <w:r>
        <w:t>Representation doesn't settle every policy debate, of course. But seeing more people from underrepresented communities in public office can change who gets heard when decisions are made. (GLAAD; Gallup)</w:t>
      </w:r>
      <w:r/>
    </w:p>
    <w:p>
      <w:pPr>
        <w:pStyle w:val="Heading2"/>
      </w:pPr>
      <w:r>
        <w:t>Virginia and Missouri voters sent contrasting signals</w:t>
      </w:r>
      <w:r/>
    </w:p>
    <w:p>
      <w:r/>
      <w:r>
        <w:t>The Virginia result puts marriage equality into the state constitution, while Missouri voters turned down a measure that sought to restrict both abortion and trans healthcare. The proposals were different, but each asked voters to weigh questions of personal freedom and government power. (Axios; AP)</w:t>
      </w:r>
      <w:r/>
    </w:p>
    <w:p>
      <w:r/>
      <w:r>
        <w:t>For voters trying to make sense of a crowded ballot, the practical lesson is to read the full text of a measure rather than rely on its campaign slogan. State election offices publish official results and voter information, while the Federal Election Commission provides general guidance on federal elections and campaign finance. (Axios; Federal Election Commission)</w:t>
      </w:r>
      <w:r/>
    </w:p>
    <w:p>
      <w:pPr>
        <w:pStyle w:val="Heading2"/>
      </w:pPr>
      <w:r>
        <w:t>Anti-trans campaigning met a broader cost-of-living debate</w:t>
      </w:r>
      <w:r/>
    </w:p>
    <w:p>
      <w:r/>
      <w:r>
        <w:t>GLAAD said candidates faced large spending on anti-trans advertising in Texas and Ohio, and argued that similar campaigns failed to deliver wins in several other contested states. Its account presents the results as evidence that targeting transgender people can be a political liability, rather than the sure-fire strategy some campaigns appear to expect. (GLAAD; AP)</w:t>
      </w:r>
      <w:r/>
    </w:p>
    <w:p>
      <w:r/>
      <w:r>
        <w:t>There was also a wider message about voters' priorities. In a GLAAD poll cited in its release, 70% of registered voters said they were more likely to support a candidate who prioritised lowering living costs and creating jobs over restrictions affecting transgender people's IDs or healthcare. That suggests many people would rather hear practical plans than another round of cultural combat. (GLAAD; AP)</w:t>
      </w:r>
      <w:r/>
    </w:p>
    <w:p>
      <w:pPr>
        <w:pStyle w:val="Heading2"/>
      </w:pPr>
      <w:r>
        <w:t>What the results mean beyond election night</w:t>
      </w:r>
      <w:r/>
    </w:p>
    <w:p>
      <w:r/>
      <w:r>
        <w:t>The wins came amid a challenging climate for LGBTQ people. GLAAD's Alert Desk documented more than 1,000 anti-LGBTQ incidents across the US in 2025, with transgender and gender-nonconforming people targeted in just over half of them. (GLAAD; Gallup)</w:t>
      </w:r>
      <w:r/>
    </w:p>
    <w:p>
      <w:r/>
      <w:r>
        <w:t>Election results can mark a shift in representation, but they don't automatically settle policy or end hostility. For LGBTQ communities and their allies, the next test is whether elected officials turn campaign promises into protections and services that people can feel in everyday life. (GLAAD; AP)</w:t>
      </w:r>
      <w:r/>
    </w:p>
    <w:p>
      <w:r/>
      <w:r>
        <w:rPr>
          <w:b/>
        </w:rPr>
        <w:t>It's a historic set of results, and the work of turning representation into lasting protection starts now.</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[2]</w:t>
        </w:r>
      </w:hyperlink>
      <w:r>
        <w:t xml:space="preserve">- Paragraph 2: </w:t>
      </w:r>
      <w:hyperlink r:id="rId9">
        <w:r>
          <w:rPr>
            <w:color w:val="0000EE"/>
            <w:u w:val="single"/>
          </w:rPr>
          <w:t>[1]</w:t>
        </w:r>
      </w:hyperlink>
      <w:r>
        <w:t xml:space="preserve">, </w:t>
      </w:r>
      <w:hyperlink r:id="rId11">
        <w:r>
          <w:rPr>
            <w:color w:val="0000EE"/>
            <w:u w:val="single"/>
          </w:rPr>
          <w:t>[2]</w:t>
        </w:r>
      </w:hyperlink>
      <w:r>
        <w:t xml:space="preserve">- Paragraph 3: </w:t>
      </w:r>
      <w:hyperlink r:id="rId11">
        <w:r>
          <w:rPr>
            <w:color w:val="0000EE"/>
            <w:u w:val="single"/>
          </w:rPr>
          <w:t>[2]</w:t>
        </w:r>
      </w:hyperlink>
      <w:r>
        <w:t xml:space="preserve">, </w:t>
      </w:r>
      <w:hyperlink r:id="rId9">
        <w:r>
          <w:rPr>
            <w:color w:val="0000EE"/>
            <w:u w:val="single"/>
          </w:rPr>
          <w:t>[1]</w:t>
        </w:r>
      </w:hyperlink>
      <w:r>
        <w:t xml:space="preserve">- Paragraph 4: </w:t>
      </w:r>
      <w:hyperlink r:id="rId11">
        <w:r>
          <w:rPr>
            <w:color w:val="0000EE"/>
            <w:u w:val="single"/>
          </w:rPr>
          <w:t>[2]</w:t>
        </w:r>
      </w:hyperlink>
      <w:r>
        <w:t xml:space="preserve">, </w:t>
      </w:r>
      <w:hyperlink r:id="rId9">
        <w:r>
          <w:rPr>
            <w:color w:val="0000EE"/>
            <w:u w:val="single"/>
          </w:rPr>
          <w:t>[1]</w:t>
        </w:r>
      </w:hyperlink>
      <w:r>
        <w:t xml:space="preserve">- Paragraph 5: </w:t>
      </w:r>
      <w:hyperlink r:id="rId9">
        <w:r>
          <w:rPr>
            <w:color w:val="0000EE"/>
            <w:u w:val="single"/>
          </w:rPr>
          <w:t>[1]</w:t>
        </w:r>
      </w:hyperlink>
      <w:r>
        <w:t xml:space="preserve">, </w:t>
      </w:r>
      <w:hyperlink r:id="rId12">
        <w:r>
          <w:rPr>
            <w:color w:val="0000EE"/>
            <w:u w:val="single"/>
          </w:rPr>
          <w:t>[4]</w:t>
        </w:r>
      </w:hyperlink>
      <w:r>
        <w:t xml:space="preserve">- Paragraph 6: </w:t>
      </w:r>
      <w:hyperlink r:id="rId10">
        <w:r>
          <w:rPr>
            <w:color w:val="0000EE"/>
            <w:u w:val="single"/>
          </w:rPr>
          <w:t>[3]</w:t>
        </w:r>
      </w:hyperlink>
      <w:r>
        <w:t xml:space="preserve">, </w:t>
      </w:r>
      <w:hyperlink r:id="rId11">
        <w:r>
          <w:rPr>
            <w:color w:val="0000EE"/>
            <w:u w:val="single"/>
          </w:rPr>
          <w:t>[2]</w:t>
        </w:r>
      </w:hyperlink>
      <w:r>
        <w:t xml:space="preserve">- Paragraph 7: </w:t>
      </w:r>
      <w:hyperlink r:id="rId10">
        <w:r>
          <w:rPr>
            <w:color w:val="0000EE"/>
            <w:u w:val="single"/>
          </w:rPr>
          <w:t>[3]</w:t>
        </w:r>
      </w:hyperlink>
      <w:r>
        <w:t xml:space="preserve">, </w:t>
      </w:r>
      <w:hyperlink r:id="rId13">
        <w:r>
          <w:rPr>
            <w:color w:val="0000EE"/>
            <w:u w:val="single"/>
          </w:rPr>
          <w:t>[5]</w:t>
        </w:r>
      </w:hyperlink>
      <w:r>
        <w:t xml:space="preserve">- Paragraph 8: </w:t>
      </w:r>
      <w:hyperlink r:id="rId9">
        <w:r>
          <w:rPr>
            <w:color w:val="0000EE"/>
            <w:u w:val="single"/>
          </w:rPr>
          <w:t>[1]</w:t>
        </w:r>
      </w:hyperlink>
      <w:r>
        <w:t xml:space="preserve">, </w:t>
      </w:r>
      <w:hyperlink r:id="rId11">
        <w:r>
          <w:rPr>
            <w:color w:val="0000EE"/>
            <w:u w:val="single"/>
          </w:rPr>
          <w:t>[2]</w:t>
        </w:r>
      </w:hyperlink>
      <w:r>
        <w:t xml:space="preserve">- Paragraph 9: </w:t>
      </w:r>
      <w:hyperlink r:id="rId9">
        <w:r>
          <w:rPr>
            <w:color w:val="0000EE"/>
            <w:u w:val="single"/>
          </w:rPr>
          <w:t>[1]</w:t>
        </w:r>
      </w:hyperlink>
      <w:r>
        <w:t xml:space="preserve">, </w:t>
      </w:r>
      <w:hyperlink r:id="rId11">
        <w:r>
          <w:rPr>
            <w:color w:val="0000EE"/>
            <w:u w:val="single"/>
          </w:rPr>
          <w:t>[2]</w:t>
        </w:r>
      </w:hyperlink>
      <w:r>
        <w:t xml:space="preserve">- Paragraph 10: </w:t>
      </w:r>
      <w:hyperlink r:id="rId9">
        <w:r>
          <w:rPr>
            <w:color w:val="0000EE"/>
            <w:u w:val="single"/>
          </w:rPr>
          <w:t>[1]</w:t>
        </w:r>
      </w:hyperlink>
      <w:r>
        <w:t xml:space="preserve">, </w:t>
      </w:r>
      <w:hyperlink r:id="rId11">
        <w:r>
          <w:rPr>
            <w:color w:val="0000EE"/>
            <w:u w:val="single"/>
          </w:rPr>
          <w:t>[2]</w:t>
        </w:r>
      </w:hyperlink>
      <w:r>
        <w:t xml:space="preserve">- Paragraph 11: </w:t>
      </w:r>
      <w:hyperlink r:id="rId14">
        <w:r>
          <w:rPr>
            <w:color w:val="0000EE"/>
            <w:u w:val="single"/>
          </w:rPr>
          <w:t>[6]</w:t>
        </w:r>
      </w:hyperlink>
      <w:r>
        <w:t xml:space="preserve">, </w:t>
      </w:r>
      <w:hyperlink r:id="rId12">
        <w:r>
          <w:rPr>
            <w:color w:val="0000EE"/>
            <w:u w:val="single"/>
          </w:rPr>
          <w:t>[4]</w:t>
        </w:r>
      </w:hyperlink>
      <w:r>
        <w:t xml:space="preserve">- Paragraph 12: </w:t>
      </w:r>
      <w:hyperlink r:id="rId9">
        <w:r>
          <w:rPr>
            <w:color w:val="0000EE"/>
            <w:u w:val="single"/>
          </w:rPr>
          <w:t>[1]</w:t>
        </w:r>
      </w:hyperlink>
      <w:r>
        <w:t xml:space="preserve">, </w:t>
      </w:r>
      <w:hyperlink r:id="rId11">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https://glaad.org/releases/glaad-responds-to-2026-election-results/</w:t>
        </w:r>
      </w:hyperlink>
      <w:r>
        <w:t xml:space="preserve"> - Please view link - unable to able to access data</w:t>
      </w:r>
      <w:r/>
    </w:p>
    <w:p>
      <w:pPr>
        <w:pStyle w:val="ListNumber"/>
        <w:spacing w:line="240" w:lineRule="auto"/>
        <w:ind w:left="720"/>
      </w:pPr>
      <w:r/>
      <w:hyperlink r:id="rId11">
        <w:r>
          <w:rPr>
            <w:color w:val="0000EE"/>
            <w:u w:val="single"/>
          </w:rPr>
          <w:t>https://apnews.com/article/93d4d163acfd217521b5dce1ab7fc4a9</w:t>
        </w:r>
      </w:hyperlink>
      <w:r>
        <w:t xml:space="preserve"> - The Associated Press reports on historic firsts from the 2026 US midterm elections, including the election of the first Black woman governor, the first Native American woman governor, the first Native American woman senator and the first openly gay man to serve in the US Senate. The article describes Democratic gains across state and federal offices and notes the significance of representation for communities that have often been under-represented. It also places these outcomes in the context of sustained organising and campaigning by people of colour and LGBTQ+ advocates. This report supports the article’s broader discussion of barrier-breaking candidates, though it does not verify every named candidate or result.</w:t>
      </w:r>
      <w:r/>
    </w:p>
    <w:p>
      <w:pPr>
        <w:pStyle w:val="ListNumber"/>
        <w:spacing w:line="240" w:lineRule="auto"/>
        <w:ind w:left="720"/>
      </w:pPr>
      <w:r/>
      <w:hyperlink r:id="rId10">
        <w:r>
          <w:rPr>
            <w:color w:val="0000EE"/>
            <w:u w:val="single"/>
          </w:rPr>
          <w:t>https://www.axios.com/local/richmond/2026/11/04/virginia-election-results-constitutional-amendments</w:t>
        </w:r>
      </w:hyperlink>
      <w:r>
        <w:t xml:space="preserve"> - This Axios report covers Virginia voters’ approval of three constitutional amendments in the 2026 election, including a measure concerning marriage equality. It explains that the marriage amendment would remove the state’s constitutional ban on same-sex marriage and protect the right to marry for same-sex and interracial couples. The report places the result alongside other state constitutional changes and describes its potential significance for future state law. It is a direct source for the claim that Virginia voters approved a marriage-equality amendment, but does not independently substantiate the wider set of LGBTQ election claims in the submitted article.</w:t>
      </w:r>
      <w:r/>
    </w:p>
    <w:p>
      <w:pPr>
        <w:pStyle w:val="ListNumber"/>
        <w:spacing w:line="240" w:lineRule="auto"/>
        <w:ind w:left="720"/>
      </w:pPr>
      <w:r/>
      <w:hyperlink r:id="rId12">
        <w:r>
          <w:rPr>
            <w:color w:val="0000EE"/>
            <w:u w:val="single"/>
          </w:rPr>
          <w:t>https://www.gallup.com/poll/611864/lgbt-identification-steady.aspx</w:t>
        </w:r>
      </w:hyperlink>
      <w:r>
        <w:t xml:space="preserve"> - Gallup examines LGBTQ+ identification in the United States using survey data collected in 2023. It reports that 7.6% of US adults identified as LGBTQ+, while more than one in five adult members of Generation Z did so. The article discusses differences across generations, gender and sexual identities, noting that younger adults are more likely to identify as LGBTQ+ than older generations. These findings provide useful context for the submitted article’s demographic statement, but the figures and survey year should be distinguished from its separate assertion that 9% of the US population identifies as LGBTQ+. Gallup’s report is about adults and uses its own survey definitions.</w:t>
      </w:r>
      <w:r/>
    </w:p>
    <w:p>
      <w:pPr>
        <w:pStyle w:val="ListNumber"/>
        <w:spacing w:line="240" w:lineRule="auto"/>
        <w:ind w:left="720"/>
      </w:pPr>
      <w:r/>
      <w:hyperlink r:id="rId13">
        <w:r>
          <w:rPr>
            <w:color w:val="0000EE"/>
            <w:u w:val="single"/>
          </w:rPr>
          <w:t>https://www.fec.gov/introduction-campaign-finance/election-results-and-voting-information/</w:t>
        </w:r>
      </w:hyperlink>
      <w:r>
        <w:t xml:space="preserve"> - The Federal Election Commission’s election information page identifies Tuesday, 3 November 2026, as the next regularly scheduled federal general election date. It explains that the FEC publishes official, certified federal election results, including results for congressional races, and directs readers to election information and state election offices. The page is useful for confirming the election date and understanding where authoritative results are compiled. It does not yet provide detailed results for every 2026 contest and does not substantiate the submitted article’s individual candidate, ballot-measure or campaign-advertising claims. Readers should consult the relevant state election office for official results and certification.</w:t>
      </w:r>
      <w:r/>
    </w:p>
    <w:p>
      <w:pPr>
        <w:pStyle w:val="ListNumber"/>
        <w:spacing w:line="240" w:lineRule="auto"/>
        <w:ind w:left="720"/>
      </w:pPr>
      <w:r/>
      <w:hyperlink r:id="rId14">
        <w:r>
          <w:rPr>
            <w:color w:val="0000EE"/>
            <w:u w:val="single"/>
          </w:rPr>
          <w:t>https://glaad.org/releases/glaad-alert-desk-documents-more-than-1000-anti-lgbtq-incidents-nationwide-in-2025/</w:t>
        </w:r>
      </w:hyperlink>
      <w:r>
        <w:t xml:space="preserve"> - GLAAD’s ALERT Desk report describes anti-LGBTQ incidents documented across the United States in 2025. The organisation says its tracker recorded more than 1,000 incidents, and that 532 incidents specifically targeted transgender and gender non-conforming people. The release explains the ALERT Desk’s role as a reporting and tracking resource and compares the recorded anti-trans incidents with its 2024 count. It supports the submitted article’s reference to the tracker and its headline figures. The statistics represent incidents documented by GLAAD’s system, rather than a complete count of every incident nationwide; the release also reflects the organisation’s advocacy perspective.</w:t>
      </w:r>
      <w:r/>
    </w:p>
    <w:p>
      <w:pPr>
        <w:pStyle w:val="ListNumber"/>
        <w:spacing w:line="240" w:lineRule="auto"/>
        <w:ind w:left="720"/>
      </w:pPr>
      <w:r/>
      <w:hyperlink r:id="rId15">
        <w:r>
          <w:rPr>
            <w:color w:val="0000EE"/>
            <w:u w:val="single"/>
          </w:rPr>
          <w:t>https://apnews.com/article/b1d26390b7ed7968435089be6d3bf612</w:t>
        </w:r>
      </w:hyperlink>
      <w:r>
        <w:t xml:space="preserve"> - The Associated Press reports that Democrats won control of Congress in the 2026 midterm elections and describes the result as a widespread rejection of President Donald Trump and the Republican Party. The report covers changes in congressional control, state-level contests and reactions from political leaders. It also describes the broader electoral setting in which candidates and ballot questions were decided. This source supports the general claim that election outcomes shifted federal political control, as well as certain state-election results mentioned in the article. It does not establish the truth of GLAAD’s interpretation of campaign strategy or verify all of the article’s assertions about LGBTQ candidates, anti-trans advertising and specific ballot measures.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aad.org/releases/glaad-responds-to-2026-election-results/" TargetMode="External"/><Relationship Id="rId10" Type="http://schemas.openxmlformats.org/officeDocument/2006/relationships/hyperlink" Target="https://www.axios.com/local/richmond/2026/11/04/virginia-election-results-constitutional-amendments" TargetMode="External"/><Relationship Id="rId11" Type="http://schemas.openxmlformats.org/officeDocument/2006/relationships/hyperlink" Target="https://apnews.com/article/93d4d163acfd217521b5dce1ab7fc4a9" TargetMode="External"/><Relationship Id="rId12" Type="http://schemas.openxmlformats.org/officeDocument/2006/relationships/hyperlink" Target="https://www.gallup.com/poll/611864/lgbt-identification-steady.aspx" TargetMode="External"/><Relationship Id="rId13" Type="http://schemas.openxmlformats.org/officeDocument/2006/relationships/hyperlink" Target="https://www.fec.gov/introduction-campaign-finance/election-results-and-voting-information/" TargetMode="External"/><Relationship Id="rId14" Type="http://schemas.openxmlformats.org/officeDocument/2006/relationships/hyperlink" Target="https://glaad.org/releases/glaad-alert-desk-documents-more-than-1000-anti-lgbtq-incidents-nationwide-in-2025/" TargetMode="External"/><Relationship Id="rId15" Type="http://schemas.openxmlformats.org/officeDocument/2006/relationships/hyperlink" Target="https://apnews.com/article/b1d26390b7ed7968435089be6d3bf6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