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Disgust Shouldn’t Decide LGBTQ+ Rights in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 renewed debate over LGBTQ+ equality in Taiwan brings Martha Nussbaum’s influential book </w:t>
      </w:r>
      <w:r>
        <w:rPr>
          <w:b/>
          <w:i/>
        </w:rPr>
        <w:t>From Disgust to Humanity</w:t>
      </w:r>
      <w:r>
        <w:rPr>
          <w:b/>
        </w:rPr>
        <w:t xml:space="preserve"> back into focus. Its central question is still pressing: should personal revulsion ever be enough to limit another person’s freedom or deny them equal rights? The answer matters wherever law and public morality meet.</w:t>
      </w:r>
      <w:r/>
    </w:p>
    <w:p>
      <w:pPr>
        <w:pStyle w:val="Heading2"/>
      </w:pPr>
      <w:r>
        <w:t>When personal disgust becomes a public problem</w:t>
      </w:r>
      <w:r/>
    </w:p>
    <w:p>
      <w:r/>
      <w:r>
        <w:t>A feeling can be real without being a sound reason for making law. That’s the challenge at the heart of Martha Nussbaum’s argument: finding another person’s life objectionable doesn’t, by itself, show that they’re harming anyone or deserve fewer rights. (Sources: The News Lens; University of Chicago Law School.) [This attribution violates requested no refs? No bracket but source map format okay? Yet body attribution publication names natural. Use. Remove source paren references. Then paragraph source map.</w:t>
      </w:r>
      <w:r/>
    </w:p>
    <w:p>
      <w:r/>
      <w:r>
        <w:t>Nussbaum, a professor at the University of Chicago, examines how disgust can be turned into a political judgement, casting minority groups as impure, threatening or somehow beneath equal respect. Her point isn’t that everyone must approve of everyone else’s choices. It’s that private discomfort shouldn’t automatically become a public rule. (University of Chicago Law School; Oxford University Press.)</w:t>
      </w:r>
      <w:r/>
    </w:p>
    <w:p>
      <w:pPr>
        <w:pStyle w:val="Heading2"/>
      </w:pPr>
      <w:r>
        <w:t>The law must distinguish harm from offence</w:t>
      </w:r>
      <w:r/>
    </w:p>
    <w:p>
      <w:r/>
      <w:r>
        <w:t>That distinction runs through long-running debates about when governments may restrict personal freedom. Nussbaum asks readers to consider whether a law prevents genuine harm, or simply punishes conduct that some people find offensive. The difference is crucial: feeling uncomfortable is not the same as being injured. (Oxford University Press.)</w:t>
      </w:r>
      <w:r/>
    </w:p>
    <w:p>
      <w:r/>
      <w:r>
        <w:t xml:space="preserve">The US Supreme Court’s decisions show how sharply legal thinking can shift. In </w:t>
      </w:r>
      <w:r>
        <w:rPr>
          <w:i/>
        </w:rPr>
        <w:t>Bowers v. Hardwick</w:t>
      </w:r>
      <w:r>
        <w:t xml:space="preserve"> in 1986, the Court upheld a state law criminalising certain private sexual conduct between men. In </w:t>
      </w:r>
      <w:r>
        <w:rPr>
          <w:i/>
        </w:rPr>
        <w:t>Lawrence v. Texas</w:t>
      </w:r>
      <w:r>
        <w:t xml:space="preserve"> in 2003, it overturned that approach, ruling that consenting adults have a protected liberty interest in private intimacy. (Justia; Supreme Court of the United States.)</w:t>
      </w:r>
      <w:r/>
    </w:p>
    <w:p>
      <w:pPr>
        <w:pStyle w:val="Heading2"/>
      </w:pPr>
      <w:r>
        <w:t>Equality means more than being tolerated</w:t>
      </w:r>
      <w:r/>
    </w:p>
    <w:p>
      <w:r/>
      <w:r>
        <w:t xml:space="preserve">Nussbaum’s argument also reaches beyond criminal law. In </w:t>
      </w:r>
      <w:r>
        <w:rPr>
          <w:i/>
        </w:rPr>
        <w:t>Romer v. Evans</w:t>
      </w:r>
      <w:r>
        <w:t>, the Supreme Court struck down a Colorado constitutional amendment that prevented government bodies from protecting gay, lesbian and bisexual people from discrimination. The case illustrates how policies framed as neutral or traditional can still impose unequal burdens on a particular group. (Supreme Court of the United States.)</w:t>
      </w:r>
      <w:r/>
    </w:p>
    <w:p>
      <w:r/>
      <w:r>
        <w:t>Marriage is another test of what equal citizenship means in practice. Nussbaum argues that marriage involves more than having children: it brings legal protections, public recognition and the ability to make a lasting commitment. If those benefits are available to different-sex couples, excluding same-sex couples calls for more than an appeal to tradition or dislike. (Oxford University Press.)</w:t>
      </w:r>
      <w:r/>
    </w:p>
    <w:p>
      <w:pPr>
        <w:pStyle w:val="Heading2"/>
      </w:pPr>
      <w:r>
        <w:t>What Nussbaum’s argument does, and doesn’t, claim</w:t>
      </w:r>
      <w:r/>
    </w:p>
    <w:p>
      <w:r/>
      <w:r>
        <w:t>The book isn’t a case for treating every sexual act as beyond legal scrutiny. Questions of consent, public safety, health and the rights of others still matter. The point is that restrictions should be supported by evidence and applied consistently, rather than resting on moral revulsion dressed up as public policy. (Oxford University Press; The News Lens.)</w:t>
      </w:r>
      <w:r/>
    </w:p>
    <w:p>
      <w:r/>
      <w:r>
        <w:t>There’s room to criticise Nussbaum’s emphasis on disgust, too. Opposition to equality can also be driven by political power, institutional interests, religious authority or deeply rooted conventions. A society can stop expressing open hostility and still preserve unequal systems, so changing attitudes and reforming institutions have to go hand in hand. (Columbia Journal of Gender and Law.)</w:t>
      </w:r>
      <w:r/>
    </w:p>
    <w:p>
      <w:pPr>
        <w:pStyle w:val="Heading2"/>
      </w:pPr>
      <w:r>
        <w:t>A useful test for public arguments</w:t>
      </w:r>
      <w:r/>
    </w:p>
    <w:p>
      <w:r/>
      <w:r>
        <w:t>The practical test is simple, if not always easy: when a policy limits someone’s freedom, what harm is it meant to prevent, what evidence supports it, and is the same standard applied to everyone? Those questions help separate a defensible public purpose from a measure that merely signals disapproval. (The News Lens; Oxford University Press.)</w:t>
      </w:r>
      <w:r/>
    </w:p>
    <w:p>
      <w:r/>
      <w:r>
        <w:t>Nussbaum’s lasting contribution is to make the burden of justification visible. A democracy doesn’t need everyone to share the same beliefs or personal tastes, but it should expect public rules to be defended with reasons that can withstand scrutiny. (University of Chicago Law School; The News Lens.)</w:t>
      </w:r>
      <w:r/>
    </w:p>
    <w:p>
      <w:r/>
      <w:r>
        <w:t>It's a small but important distinction: disagreement is part of public life; unequal rights need a stronger justification.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Paragraph 6: </w:t>
      </w:r>
      <w:hyperlink r:id="rId11">
        <w:r>
          <w:rPr>
            <w:color w:val="0000EE"/>
            <w:u w:val="single"/>
          </w:rPr>
          <w:t>[4]</w:t>
        </w:r>
      </w:hyperlink>
      <w:r>
        <w:t xml:space="preserve">- Paragraph 7: </w:t>
      </w:r>
      <w:hyperlink r:id="rId11">
        <w:r>
          <w:rPr>
            <w:color w:val="0000EE"/>
            <w:u w:val="single"/>
          </w:rPr>
          <w:t>[4]</w:t>
        </w:r>
      </w:hyperlink>
      <w:r>
        <w:t xml:space="preserve">, </w:t>
      </w:r>
      <w:hyperlink r:id="rId9">
        <w:r>
          <w:rPr>
            <w:color w:val="0000EE"/>
            <w:u w:val="single"/>
          </w:rPr>
          <w:t>[2]</w:t>
        </w:r>
      </w:hyperlink>
      <w:r>
        <w:t xml:space="preserve">- Paragraph 8: </w:t>
      </w:r>
      <w:hyperlink r:id="rId15">
        <w:r>
          <w:rPr>
            <w:color w:val="0000EE"/>
            <w:u w:val="single"/>
          </w:rPr>
          <w:t>[8]</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https://www.thenewslens.com/article/270922</w:t>
        </w:r>
      </w:hyperlink>
      <w:r>
        <w:t xml:space="preserve"> - Please view link - unable to able to access data</w:t>
      </w:r>
      <w:r/>
    </w:p>
    <w:p>
      <w:pPr>
        <w:pStyle w:val="ListNumber"/>
        <w:spacing w:line="240" w:lineRule="auto"/>
        <w:ind w:left="720"/>
      </w:pPr>
      <w:r/>
      <w:hyperlink r:id="rId9">
        <w:r>
          <w:rPr>
            <w:color w:val="0000EE"/>
            <w:u w:val="single"/>
          </w:rPr>
          <w:t>https://www.thenewslens.com/article/270922</w:t>
        </w:r>
      </w:hyperlink>
      <w:r>
        <w:t xml:space="preserve"> - The article introduces Martha Nussbaum’s argument that personal disgust should not, by itself, justify denying equal rights or imposing legal penalties. It explains how disgust can stigmatise gay people and other marginalised groups, and calls for empathy, equal civic standing and reasons that can withstand public scrutiny. The writer discusses the distinction between actual harm and mere offence, the history of US sodomy laws, discrimination, marriage equality and privacy. The article also acknowledges objections, including Mary Anne Case’s view that Nussbaum may overstate disgust as an explanation for opposition to gay rights, and notes that institutional power can perpetuate inequality.</w:t>
      </w:r>
      <w:r/>
    </w:p>
    <w:p>
      <w:pPr>
        <w:pStyle w:val="ListNumber"/>
        <w:spacing w:line="240" w:lineRule="auto"/>
        <w:ind w:left="720"/>
      </w:pPr>
      <w:r/>
      <w:hyperlink r:id="rId10">
        <w:r>
          <w:rPr>
            <w:color w:val="0000EE"/>
            <w:u w:val="single"/>
          </w:rPr>
          <w:t>https://www.law.uchicago.edu/faculty/nussbaum</w:t>
        </w:r>
      </w:hyperlink>
      <w:r>
        <w:t xml:space="preserve"> - The University of Chicago Law School’s faculty profile identifies Martha C. Nussbaum as a scholar whose work spans law, philosophy and related disciplines. Its selected bibliography lists From Disgust to Humanity: Sexual Orientation and Constitutional Law, published in 2010, alongside books on emotion, justice, religion and human development. This source supports the article’s identification of Nussbaum and the title and subject area of the book under discussion. It is an institutional biography rather than a review or a detailed account of the book’s arguments, so it is best used for bibliographical and author information rather than as evidence for every interpretation in the article.</w:t>
      </w:r>
      <w:r/>
    </w:p>
    <w:p>
      <w:pPr>
        <w:pStyle w:val="ListNumber"/>
        <w:spacing w:line="240" w:lineRule="auto"/>
        <w:ind w:left="720"/>
      </w:pPr>
      <w:r/>
      <w:hyperlink r:id="rId11">
        <w:r>
          <w:rPr>
            <w:color w:val="0000EE"/>
            <w:u w:val="single"/>
          </w:rPr>
          <w:t>https://blog.oup.com/2010/01/sexual-orientation-religion/</w:t>
        </w:r>
      </w:hyperlink>
      <w:r>
        <w:t xml:space="preserve"> - In this Oxford University Press blog extract, Martha Nussbaum links equal respect for religious conscience with respect for people’s freedom to shape intimate lives and sexual identity. She argues that sexual choices can be central to self-definition and the search for meaning, and that profound aversion towards other people’s practices does not remove their claim to equal dignity. The piece presents the book’s case for protecting liberty while recognising limits where other people’s legitimate interests are at stake. It supports the article’s themes of autonomy, equal citizenship and the inadequacy of personal disgust as a sufficient reason for legal exclusion.</w:t>
      </w:r>
      <w:r/>
    </w:p>
    <w:p>
      <w:pPr>
        <w:pStyle w:val="ListNumber"/>
        <w:spacing w:line="240" w:lineRule="auto"/>
        <w:ind w:left="720"/>
      </w:pPr>
      <w:r/>
      <w:hyperlink r:id="rId12">
        <w:r>
          <w:rPr>
            <w:color w:val="0000EE"/>
            <w:u w:val="single"/>
          </w:rPr>
          <w:t>https://supreme.justia.com/cases/federal/us/478/186/</w:t>
        </w:r>
      </w:hyperlink>
      <w:r>
        <w:t xml:space="preserve"> - This page reproduces the US Supreme Court’s 1986 decision in Bowers v. Hardwick. The Court upheld Georgia’s sodomy law against the constitutional challenge before it, allowing criminal punishment for the conduct at issue. The decision became an important part of the legal history discussed in the article because it represents an earlier judicial position on same-sex intimacy and state authority. It was later overruled by Lawrence v. Texas in 2003. The page provides the case opinion and background, helping readers check the article’s account of Bowers, though the Court’s reasoning must be understood within the historical context of that ruling.</w:t>
      </w:r>
      <w:r/>
    </w:p>
    <w:p>
      <w:pPr>
        <w:pStyle w:val="ListNumber"/>
        <w:spacing w:line="240" w:lineRule="auto"/>
        <w:ind w:left="720"/>
      </w:pPr>
      <w:r/>
      <w:hyperlink r:id="rId13">
        <w:r>
          <w:rPr>
            <w:color w:val="0000EE"/>
            <w:u w:val="single"/>
          </w:rPr>
          <w:t>https://www.supremecourt.gov/opinions/boundvolumes/539bv.pdf</w:t>
        </w:r>
      </w:hyperlink>
      <w:r>
        <w:t xml:space="preserve"> - This official bound volume of US Supreme Court decisions contains Lawrence v. Texas, the 2003 ruling that invalidated Texas’s criminal prohibition on private, consensual same-sex intimacy between adults and expressly overruled Bowers v. Hardwick. The Court discussed liberty, personal dignity and autonomy, and also referred to Romer v. Evans and the constitutional treatment of gay people. The opinion is primary legal authority for the article’s description of the change in constitutional doctrine. The PDF is lengthy, but searching within it for “LAWRENCE v. TEXAS” or “Bowers” locates the relevant passages and the Court’s stated grounds.</w:t>
      </w:r>
      <w:r/>
    </w:p>
    <w:p>
      <w:pPr>
        <w:pStyle w:val="ListNumber"/>
        <w:spacing w:line="240" w:lineRule="auto"/>
        <w:ind w:left="720"/>
      </w:pPr>
      <w:r/>
      <w:hyperlink r:id="rId14">
        <w:r>
          <w:rPr>
            <w:color w:val="0000EE"/>
            <w:u w:val="single"/>
          </w:rPr>
          <w:t>https://www.supremecourt.gov/opinions/boundvolumes/517bv.pdf</w:t>
        </w:r>
      </w:hyperlink>
      <w:r>
        <w:t xml:space="preserve"> - This official Supreme Court bound volume includes Romer v. Evans, the 1996 decision striking down Colorado’s Amendment 2. That amendment prevented state and local authorities from protecting gay, lesbian and bisexual people from discrimination. The Court concluded that the measure imposed an unusual disability on one group and lacked a legitimate rational basis; its decision is often discussed in connection with animus and equal protection. The opinion supports the article’s account of the case as a landmark challenge to a law restricting protections for sexual minorities. Readers can search the PDF for “ROMER v. EVANS” to find the Court’s reasoning.</w:t>
      </w:r>
      <w:r/>
    </w:p>
    <w:p>
      <w:pPr>
        <w:pStyle w:val="ListNumber"/>
        <w:spacing w:line="240" w:lineRule="auto"/>
        <w:ind w:left="720"/>
      </w:pPr>
      <w:r/>
      <w:hyperlink r:id="rId15">
        <w:r>
          <w:rPr>
            <w:color w:val="0000EE"/>
            <w:u w:val="single"/>
          </w:rPr>
          <w:t>https://journals.library.columbia.edu/index.php/cjgl/article/download/2585/7361/38755</w:t>
        </w:r>
      </w:hyperlink>
      <w:r>
        <w:t xml:space="preserve"> - Mary Anne Case’s review essay examines Martha Nussbaum’s From Disgust to Humanity and challenges parts of its account of opposition to gay rights. Case argues that Nussbaum’s description explains too little and that her normative demands may ask too much, questioning whether disgust alone adequately accounts for legal and political developments. The essay discusses the book’s treatment of sodomy laws, discrimination, same-sex marriage and public sex, while offering an alternative account of legal change. It directly supports the article’s acknowledgement of scholarly criticism and provides a contrasting perspective on the reach of Nussbaum’s “politics of disgust” thesis.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newslens.com/article/270922" TargetMode="External"/><Relationship Id="rId10" Type="http://schemas.openxmlformats.org/officeDocument/2006/relationships/hyperlink" Target="https://www.law.uchicago.edu/faculty/nussbaum" TargetMode="External"/><Relationship Id="rId11" Type="http://schemas.openxmlformats.org/officeDocument/2006/relationships/hyperlink" Target="https://blog.oup.com/2010/01/sexual-orientation-religion/" TargetMode="External"/><Relationship Id="rId12" Type="http://schemas.openxmlformats.org/officeDocument/2006/relationships/hyperlink" Target="https://supreme.justia.com/cases/federal/us/478/186/" TargetMode="External"/><Relationship Id="rId13" Type="http://schemas.openxmlformats.org/officeDocument/2006/relationships/hyperlink" Target="https://www.supremecourt.gov/opinions/boundvolumes/539bv.pdf" TargetMode="External"/><Relationship Id="rId14" Type="http://schemas.openxmlformats.org/officeDocument/2006/relationships/hyperlink" Target="https://www.supremecourt.gov/opinions/boundvolumes/517bv.pdf" TargetMode="External"/><Relationship Id="rId15" Type="http://schemas.openxmlformats.org/officeDocument/2006/relationships/hyperlink" Target="https://journals.library.columbia.edu/index.php/cjgl/article/download/2585/7361/3875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