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Anti-Trans Campaign Ads Are Surging in the 2026 Midterms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Republican campaigns are spending heavily on anti-transgender advertising as they compete for voters in the 2026 midterms. The focus on cultural issues is striking in an election shaped by everyday concerns such as affordability, and it raises a familiar question: can provocative messaging make up for a shortage of persuasive answers on the economy?</w:t>
      </w:r>
      <w:r/>
    </w:p>
    <w:p>
      <w:pPr>
        <w:pStyle w:val="Heading2"/>
      </w:pPr>
      <w:r>
        <w:t>Anti-trans ads take centre stage in competitive races</w:t>
      </w:r>
      <w:r/>
    </w:p>
    <w:p>
      <w:r/>
      <w:r>
        <w:t xml:space="preserve">The 2026 midterm campaign has brought a flood of anti-transgender advertising, with Republicans putting at least $180 million into ads on the issue, according to the Associated Press. Many focus on transgender girls in school sports, presenting their participation as a threat to other competitors. The message is designed to provoke; it’s not exactly subtle. </w:t>
      </w:r>
      <w:hyperlink r:id="rId9">
        <w:r>
          <w:rPr>
            <w:color w:val="0000EE"/>
            <w:u w:val="single"/>
          </w:rPr>
          <w:t>[3]</w:t>
        </w:r>
      </w:hyperlink>
      <w:r>
        <w:t xml:space="preserve">, </w:t>
      </w:r>
      <w:hyperlink r:id="rId10">
        <w:r>
          <w:rPr>
            <w:color w:val="0000EE"/>
            <w:u w:val="single"/>
          </w:rPr>
          <w:t>[7]</w:t>
        </w:r>
      </w:hyperlink>
      <w:r/>
    </w:p>
    <w:p>
      <w:r/>
      <w:r>
        <w:t xml:space="preserve">The ads are part of a wider campaign strategy that puts cultural disputes alongside, and sometimes ahead of, economic arguments. In close races, that can mean sharp claims about a candidate’s position on trans people, even when voters are also weighing household costs and other practical concerns. </w:t>
      </w:r>
      <w:hyperlink r:id="rId9">
        <w:r>
          <w:rPr>
            <w:color w:val="0000EE"/>
            <w:u w:val="single"/>
          </w:rPr>
          <w:t>[3]</w:t>
        </w:r>
      </w:hyperlink>
      <w:r>
        <w:t xml:space="preserve">, </w:t>
      </w:r>
      <w:hyperlink r:id="rId11">
        <w:r>
          <w:rPr>
            <w:color w:val="0000EE"/>
            <w:u w:val="single"/>
          </w:rPr>
          <w:t>[6]</w:t>
        </w:r>
      </w:hyperlink>
      <w:r/>
    </w:p>
    <w:p>
      <w:pPr>
        <w:pStyle w:val="Heading2"/>
      </w:pPr>
      <w:r>
        <w:t>Why are campaigns returning to cultural issues?</w:t>
      </w:r>
      <w:r/>
    </w:p>
    <w:p>
      <w:r/>
      <w:r>
        <w:t xml:space="preserve">There’s a political calculation behind the focus. PolitiFact reported that Republican candidates have made transgender issues a prominent feature of competitive 2026 campaigns, while coverage by the Associated Press and The Washington Post describes a broader push to use the subject in election advertising. </w:t>
      </w:r>
      <w:hyperlink r:id="rId9">
        <w:r>
          <w:rPr>
            <w:color w:val="0000EE"/>
            <w:u w:val="single"/>
          </w:rPr>
          <w:t>[3]</w:t>
        </w:r>
      </w:hyperlink>
      <w:r>
        <w:t xml:space="preserve">, </w:t>
      </w:r>
      <w:hyperlink r:id="rId11">
        <w:r>
          <w:rPr>
            <w:color w:val="0000EE"/>
            <w:u w:val="single"/>
          </w:rPr>
          <w:t>[6]</w:t>
        </w:r>
      </w:hyperlink>
      <w:r>
        <w:t xml:space="preserve">, </w:t>
      </w:r>
      <w:hyperlink r:id="rId10">
        <w:r>
          <w:rPr>
            <w:color w:val="0000EE"/>
            <w:u w:val="single"/>
          </w:rPr>
          <w:t>[7]</w:t>
        </w:r>
      </w:hyperlink>
      <w:r/>
    </w:p>
    <w:p>
      <w:r/>
      <w:r>
        <w:t xml:space="preserve">But a loud campaign message isn’t the same as a clear policy pitch. Ads can make an issue memorable, yet they may leave voters wondering how it connects with their daily concerns. That tension is especially visible when affordability is high on the agenda. </w:t>
      </w:r>
      <w:hyperlink r:id="rId12">
        <w:r>
          <w:rPr>
            <w:color w:val="0000EE"/>
            <w:u w:val="single"/>
          </w:rPr>
          <w:t>[2]</w:t>
        </w:r>
      </w:hyperlink>
      <w:r>
        <w:t xml:space="preserve">, </w:t>
      </w:r>
      <w:hyperlink r:id="rId9">
        <w:r>
          <w:rPr>
            <w:color w:val="0000EE"/>
            <w:u w:val="single"/>
          </w:rPr>
          <w:t>[3]</w:t>
        </w:r>
      </w:hyperlink>
      <w:r/>
    </w:p>
    <w:p>
      <w:pPr>
        <w:pStyle w:val="Heading2"/>
      </w:pPr>
      <w:r>
        <w:t>Voting rules remain a separate battleground</w:t>
      </w:r>
      <w:r/>
    </w:p>
    <w:p>
      <w:r/>
      <w:r>
        <w:t xml:space="preserve">Cultural campaigning isn’t the only story. Efforts to change election rules have also been part of the midterm landscape, including the proposed SAVE America Act, which FactCheck.org examined in a March 2026 explainer. The bill’s provisions matter because changes to voter-registration requirements can affect how people take part in elections. </w:t>
      </w:r>
      <w:hyperlink r:id="rId13">
        <w:r>
          <w:rPr>
            <w:color w:val="0000EE"/>
            <w:u w:val="single"/>
          </w:rPr>
          <w:t>[5]</w:t>
        </w:r>
      </w:hyperlink>
      <w:r/>
    </w:p>
    <w:p>
      <w:r/>
      <w:r>
        <w:t xml:space="preserve">Meanwhile, election interference and the security of the voting process remain subjects of national reporting. The Associated Press has covered concerns around Trump and the midterms, a reminder that voting access and campaign rhetoric are running on parallel tracks. </w:t>
      </w:r>
      <w:hyperlink r:id="rId14">
        <w:r>
          <w:rPr>
            <w:color w:val="0000EE"/>
            <w:u w:val="single"/>
          </w:rPr>
          <w:t>[4]</w:t>
        </w:r>
      </w:hyperlink>
      <w:r/>
    </w:p>
    <w:p>
      <w:pPr>
        <w:pStyle w:val="Heading2"/>
      </w:pPr>
      <w:r>
        <w:t>What voters should look for in political ads</w:t>
      </w:r>
      <w:r/>
    </w:p>
    <w:p>
      <w:r/>
      <w:r>
        <w:t xml:space="preserve">For voters, a useful first step is to separate an ad’s emotional punch from its factual claims. Check who paid for it, look for the evidence behind its wording, and compare the claim with independent reporting. When an advert centres on a broad accusation, details matter more than the dramatic soundtrack. </w:t>
      </w:r>
      <w:hyperlink r:id="rId9">
        <w:r>
          <w:rPr>
            <w:color w:val="0000EE"/>
            <w:u w:val="single"/>
          </w:rPr>
          <w:t>[3]</w:t>
        </w:r>
      </w:hyperlink>
      <w:r>
        <w:t xml:space="preserve">, </w:t>
      </w:r>
      <w:hyperlink r:id="rId11">
        <w:r>
          <w:rPr>
            <w:color w:val="0000EE"/>
            <w:u w:val="single"/>
          </w:rPr>
          <w:t>[6]</w:t>
        </w:r>
      </w:hyperlink>
      <w:r/>
    </w:p>
    <w:p>
      <w:r/>
      <w:r>
        <w:t xml:space="preserve">It’s also worth asking what the ad leaves out. Does it explain a candidate’s actual position, or simply use a charged image or phrase to imply one? That distinction can help voters judge the argument rather than just react to it. </w:t>
      </w:r>
      <w:hyperlink r:id="rId9">
        <w:r>
          <w:rPr>
            <w:color w:val="0000EE"/>
            <w:u w:val="single"/>
          </w:rPr>
          <w:t>[3]</w:t>
        </w:r>
      </w:hyperlink>
      <w:r>
        <w:t xml:space="preserve">, </w:t>
      </w:r>
      <w:hyperlink r:id="rId10">
        <w:r>
          <w:rPr>
            <w:color w:val="0000EE"/>
            <w:u w:val="single"/>
          </w:rPr>
          <w:t>[7]</w:t>
        </w:r>
      </w:hyperlink>
      <w:r/>
    </w:p>
    <w:p>
      <w:pPr>
        <w:pStyle w:val="Heading2"/>
      </w:pPr>
      <w:r>
        <w:t>A campaign message is not a governing plan</w:t>
      </w:r>
      <w:r/>
    </w:p>
    <w:p>
      <w:r/>
      <w:r>
        <w:t xml:space="preserve">Election adverts are built to win attention, not to offer a complete account of what a candidate would do in office. Anti-trans messaging may dominate a particular race, but voters still have reason to weigh it against the candidates’ wider records and proposals. </w:t>
      </w:r>
      <w:hyperlink r:id="rId12">
        <w:r>
          <w:rPr>
            <w:color w:val="0000EE"/>
            <w:u w:val="single"/>
          </w:rPr>
          <w:t>[2]</w:t>
        </w:r>
      </w:hyperlink>
      <w:r>
        <w:t xml:space="preserve">, </w:t>
      </w:r>
      <w:hyperlink r:id="rId9">
        <w:r>
          <w:rPr>
            <w:color w:val="0000EE"/>
            <w:u w:val="single"/>
          </w:rPr>
          <w:t>[3]</w:t>
        </w:r>
      </w:hyperlink>
      <w:r/>
    </w:p>
    <w:p>
      <w:r/>
      <w:r>
        <w:t xml:space="preserve">And that’s the broader point: culture-war campaigns can be powerful, but they don’t make everyday policy questions disappear. The midterms will show how far the strategy travels with voters. </w:t>
      </w:r>
      <w:hyperlink r:id="rId12">
        <w:r>
          <w:rPr>
            <w:color w:val="0000EE"/>
            <w:u w:val="single"/>
          </w:rPr>
          <w:t>[2]</w:t>
        </w:r>
      </w:hyperlink>
      <w:r>
        <w:t xml:space="preserve">, </w:t>
      </w:r>
      <w:hyperlink r:id="rId11">
        <w:r>
          <w:rPr>
            <w:color w:val="0000EE"/>
            <w:u w:val="single"/>
          </w:rPr>
          <w:t>[6]</w:t>
        </w:r>
      </w:hyperlink>
      <w:r/>
    </w:p>
    <w:p>
      <w:r/>
      <w:r>
        <w:t>When an advert feels designed to provoke, pause, check the claim and look beyond the slogan.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[7]</w:t>
        </w:r>
      </w:hyperlink>
      <w:r>
        <w:t xml:space="preserve">- Paragraph 2: </w:t>
      </w:r>
      <w:hyperlink r:id="rId9">
        <w:r>
          <w:rPr>
            <w:color w:val="0000EE"/>
            <w:u w:val="single"/>
          </w:rPr>
          <w:t>[3]</w:t>
        </w:r>
      </w:hyperlink>
      <w:r>
        <w:t xml:space="preserve">, </w:t>
      </w:r>
      <w:hyperlink r:id="rId11">
        <w:r>
          <w:rPr>
            <w:color w:val="0000EE"/>
            <w:u w:val="single"/>
          </w:rPr>
          <w:t>[6]</w:t>
        </w:r>
      </w:hyperlink>
      <w:r>
        <w:t xml:space="preserve">- Paragraph 3: </w:t>
      </w:r>
      <w:hyperlink r:id="rId9">
        <w:r>
          <w:rPr>
            <w:color w:val="0000EE"/>
            <w:u w:val="single"/>
          </w:rPr>
          <w:t>[3]</w:t>
        </w:r>
      </w:hyperlink>
      <w:r>
        <w:t xml:space="preserve">, </w:t>
      </w:r>
      <w:hyperlink r:id="rId11">
        <w:r>
          <w:rPr>
            <w:color w:val="0000EE"/>
            <w:u w:val="single"/>
          </w:rPr>
          <w:t>[6]</w:t>
        </w:r>
      </w:hyperlink>
      <w:r>
        <w:t xml:space="preserve">, </w:t>
      </w:r>
      <w:hyperlink r:id="rId10">
        <w:r>
          <w:rPr>
            <w:color w:val="0000EE"/>
            <w:u w:val="single"/>
          </w:rPr>
          <w:t>[7]</w:t>
        </w:r>
      </w:hyperlink>
      <w:r>
        <w:t xml:space="preserve">- Paragraph 4: </w:t>
      </w:r>
      <w:hyperlink r:id="rId12">
        <w:r>
          <w:rPr>
            <w:color w:val="0000EE"/>
            <w:u w:val="single"/>
          </w:rPr>
          <w:t>[2]</w:t>
        </w:r>
      </w:hyperlink>
      <w:r>
        <w:t xml:space="preserve">, </w:t>
      </w:r>
      <w:hyperlink r:id="rId9">
        <w:r>
          <w:rPr>
            <w:color w:val="0000EE"/>
            <w:u w:val="single"/>
          </w:rPr>
          <w:t>[3]</w:t>
        </w:r>
      </w:hyperlink>
      <w:r>
        <w:t xml:space="preserve">- Paragraph 5: </w:t>
      </w:r>
      <w:hyperlink r:id="rId13">
        <w:r>
          <w:rPr>
            <w:color w:val="0000EE"/>
            <w:u w:val="single"/>
          </w:rPr>
          <w:t>[5]</w:t>
        </w:r>
      </w:hyperlink>
      <w:r>
        <w:t xml:space="preserve">- Paragraph 6: </w:t>
      </w:r>
      <w:hyperlink r:id="rId14">
        <w:r>
          <w:rPr>
            <w:color w:val="0000EE"/>
            <w:u w:val="single"/>
          </w:rPr>
          <w:t>[4]</w:t>
        </w:r>
      </w:hyperlink>
      <w:r>
        <w:t xml:space="preserve">- Paragraph 7: </w:t>
      </w:r>
      <w:hyperlink r:id="rId9">
        <w:r>
          <w:rPr>
            <w:color w:val="0000EE"/>
            <w:u w:val="single"/>
          </w:rPr>
          <w:t>[3]</w:t>
        </w:r>
      </w:hyperlink>
      <w:r>
        <w:t xml:space="preserve">, </w:t>
      </w:r>
      <w:hyperlink r:id="rId11">
        <w:r>
          <w:rPr>
            <w:color w:val="0000EE"/>
            <w:u w:val="single"/>
          </w:rPr>
          <w:t>[6]</w:t>
        </w:r>
      </w:hyperlink>
      <w:r>
        <w:t xml:space="preserve">- Paragraph 8: </w:t>
      </w:r>
      <w:hyperlink r:id="rId9">
        <w:r>
          <w:rPr>
            <w:color w:val="0000EE"/>
            <w:u w:val="single"/>
          </w:rPr>
          <w:t>[3]</w:t>
        </w:r>
      </w:hyperlink>
      <w:r>
        <w:t xml:space="preserve">, </w:t>
      </w:r>
      <w:hyperlink r:id="rId10">
        <w:r>
          <w:rPr>
            <w:color w:val="0000EE"/>
            <w:u w:val="single"/>
          </w:rPr>
          <w:t>[7]</w:t>
        </w:r>
      </w:hyperlink>
      <w:r>
        <w:t xml:space="preserve">- Paragraph 9: </w:t>
      </w:r>
      <w:hyperlink r:id="rId12">
        <w:r>
          <w:rPr>
            <w:color w:val="0000EE"/>
            <w:u w:val="single"/>
          </w:rPr>
          <w:t>[2]</w:t>
        </w:r>
      </w:hyperlink>
      <w:r>
        <w:t xml:space="preserve">, </w:t>
      </w:r>
      <w:hyperlink r:id="rId9">
        <w:r>
          <w:rPr>
            <w:color w:val="0000EE"/>
            <w:u w:val="single"/>
          </w:rPr>
          <w:t>[3]</w:t>
        </w:r>
      </w:hyperlink>
      <w:r>
        <w:t xml:space="preserve">- Paragraph 10: </w:t>
      </w:r>
      <w:hyperlink r:id="rId12">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https://www.motherjones.com/politics/2026/11/the-bigots-wager/</w:t>
        </w:r>
      </w:hyperlink>
      <w:r>
        <w:t xml:space="preserve"> - Please view link - unable to able to access data</w:t>
      </w:r>
      <w:r/>
    </w:p>
    <w:p>
      <w:pPr>
        <w:pStyle w:val="ListNumber"/>
        <w:spacing w:line="240" w:lineRule="auto"/>
        <w:ind w:left="720"/>
      </w:pPr>
      <w:r/>
      <w:hyperlink r:id="rId12">
        <w:r>
          <w:rPr>
            <w:color w:val="0000EE"/>
            <w:u w:val="single"/>
          </w:rPr>
          <w:t>https://www.theatlantic.com/ideas/2026/11/right-strategy-rhetoric-racism/689233/</w:t>
        </w:r>
      </w:hyperlink>
      <w:r>
        <w:t xml:space="preserve"> - The Atlantic examines Republican candidates’ use of racial and religious hostility in the 2026 midterm campaigns. It describes attacks on Michigan Senate candidate Abdul El-Sayed, including claims that he is a jihadist or harbours anti-white attitudes, and reports anti-transgender messaging aimed at candidates elsewhere. The article argues that scapegoating minorities has become a deliberate campaign strategy, not a substitute for substantive solutions to economic concerns. It places this approach within a longer history of white identity politics and warns that bigotry cannot deliver the broad-based prosperity politicians promise. The piece offers context for the article’s central argument about prejudice as political strategy.</w:t>
      </w:r>
      <w:r/>
    </w:p>
    <w:p>
      <w:pPr>
        <w:pStyle w:val="ListNumber"/>
        <w:spacing w:line="240" w:lineRule="auto"/>
        <w:ind w:left="720"/>
      </w:pPr>
      <w:r/>
      <w:hyperlink r:id="rId9">
        <w:r>
          <w:rPr>
            <w:color w:val="0000EE"/>
            <w:u w:val="single"/>
          </w:rPr>
          <w:t>https://apnews.com/article/transgender-ads-midterms-republicans-cultural-economic-issues-5c43cf231930a02c1f51b7ddcd8d9448</w:t>
        </w:r>
      </w:hyperlink>
      <w:r>
        <w:t xml:space="preserve"> - The Associated Press reports that Republicans spent an estimated $183 million on television advertisements attacking Democrats over transgender-related issues by late October 2026. The story explains that the spending targets several races, with Texas receiving a particularly large share, and describes ads accusing James Talarico of supporting medical procedures for minors. It contrasts this campaign emphasis with polling that identifies the economy and cost of living as more important concerns for most voters. The report also notes that Democrats spent considerably less on related advertising, largely in response to Republican attacks. Its figures and examples support the article’s discussion of anti-trans campaign messaging.</w:t>
      </w:r>
      <w:r/>
    </w:p>
    <w:p>
      <w:pPr>
        <w:pStyle w:val="ListNumber"/>
        <w:spacing w:line="240" w:lineRule="auto"/>
        <w:ind w:left="720"/>
      </w:pPr>
      <w:r/>
      <w:hyperlink r:id="rId14">
        <w:r>
          <w:rPr>
            <w:color w:val="0000EE"/>
            <w:u w:val="single"/>
          </w:rPr>
          <w:t>https://apnews.com/article/midterms-trump-voting-election-interference-85ad12449d5900e74bece6df6d8d52d5</w:t>
        </w:r>
      </w:hyperlink>
      <w:r>
        <w:t xml:space="preserve"> - The Associated Press describes President Donald Trump’s election-related actions and the legal challenges confronting his administration ahead of the 2026 midterms. It reports that federal efforts to obtain detailed voter information have lost more than two dozen court cases, while courts have paused executive orders seeking to alter voting procedures. The article also covers election-related subpoenas, Trump’s repeated claims that elections may be rigged, and concerns about possible federal intervention. It notes that early voting had proceeded without major disruption at the time of publication, while experts warned that some presidential actions could still create risks. The report supports claims about court setbacks and election interference concerns.</w:t>
      </w:r>
      <w:r/>
    </w:p>
    <w:p>
      <w:pPr>
        <w:pStyle w:val="ListNumber"/>
        <w:spacing w:line="240" w:lineRule="auto"/>
        <w:ind w:left="720"/>
      </w:pPr>
      <w:r/>
      <w:hyperlink r:id="rId13">
        <w:r>
          <w:rPr>
            <w:color w:val="0000EE"/>
            <w:u w:val="single"/>
          </w:rPr>
          <w:t>https://www.factcheck.org/2026/03/qa-on-the-save-america-act/</w:t>
        </w:r>
      </w:hyperlink>
      <w:r>
        <w:t xml:space="preserve"> - FactCheck.org answers questions about the SAVE America Act, a proposed measure involving proof of citizenship and voter identification. Its analysis reviews the bill’s provisions, public-opinion polling and concerns about federal voter-data systems. The article recounts reporting that the Department of Homeland Security’s SAVE database has produced errors, including cases where people who were citizens were flagged as potential non-citizens. It explains that the database may not reflect updated citizenship information for some people born outside the United States. This resource provides background on the legislation and data-access debate mentioned in the article, while distinguishing documented facts from political claims surrounding election eligibility.</w:t>
      </w:r>
      <w:r/>
    </w:p>
    <w:p>
      <w:pPr>
        <w:pStyle w:val="ListNumber"/>
        <w:spacing w:line="240" w:lineRule="auto"/>
        <w:ind w:left="720"/>
      </w:pPr>
      <w:r/>
      <w:hyperlink r:id="rId11">
        <w:r>
          <w:rPr>
            <w:color w:val="0000EE"/>
            <w:u w:val="single"/>
          </w:rPr>
          <w:t>https://www.politifact.com/article/2026/aug/28/why-republicans-are-focusing-on-transgender-issues-in-competitive-2026-campaigns/</w:t>
        </w:r>
      </w:hyperlink>
      <w:r>
        <w:t xml:space="preserve"> - PolitiFact examines why Republican candidates are emphasising transgender-related issues in competitive 2026 campaigns. The article describes advertisements and campaign statements targeting Democrats in several states, including messaging about transgender people in sport and gender-affirming care. It quotes experts who say the issue can serve as a focus for wider anxieties about cultural change, even though only a small share of voters identify it as a leading concern. The report also discusses differences in Democratic responses and notes that some candidates reject the ads’ accusations while opposing particular medical procedures for minors. It adds context to claims about anti-trans rhetoric as a campaign tactic.</w:t>
      </w:r>
      <w:r/>
    </w:p>
    <w:p>
      <w:pPr>
        <w:pStyle w:val="ListNumber"/>
        <w:spacing w:line="240" w:lineRule="auto"/>
        <w:ind w:left="720"/>
      </w:pPr>
      <w:r/>
      <w:hyperlink r:id="rId10">
        <w:r>
          <w:rPr>
            <w:color w:val="0000EE"/>
            <w:u w:val="single"/>
          </w:rPr>
          <w:t>https://www.washingtonpost.com/politics/2026/10/28/transgender-ads-midterms-republicans-cultural-economic-issues/a7132fc6-d284-11f1-9931-2a41b76fc976_story.html</w:t>
        </w:r>
      </w:hyperlink>
      <w:r>
        <w:t xml:space="preserve"> - The Washington Post reports on Republican transgender-themed advertising in the 2026 midterm campaign, drawing on advertising-tracking data and examples from several races. It estimates that such television ads had generated roughly 217,000 airings and $183 million in spending by late October. The article describes attacks on Texas Democrat James Talarico and contrasts the campaign focus with voters’ stated concerns about economic conditions. It also notes that Democratic campaigns have spent far less on these advertisements, often responding to Republican claims. The report supplies independent detail on the scale, targets and political context of the anti-trans advertising described in the supplied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transgender-ads-midterms-republicans-cultural-economic-issues-5c43cf231930a02c1f51b7ddcd8d9448" TargetMode="External"/><Relationship Id="rId10" Type="http://schemas.openxmlformats.org/officeDocument/2006/relationships/hyperlink" Target="https://www.washingtonpost.com/politics/2026/10/28/transgender-ads-midterms-republicans-cultural-economic-issues/a7132fc6-d284-11f1-9931-2a41b76fc976_story.html" TargetMode="External"/><Relationship Id="rId11" Type="http://schemas.openxmlformats.org/officeDocument/2006/relationships/hyperlink" Target="https://www.politifact.com/article/2026/aug/28/why-republicans-are-focusing-on-transgender-issues-in-competitive-2026-campaigns/" TargetMode="External"/><Relationship Id="rId12" Type="http://schemas.openxmlformats.org/officeDocument/2006/relationships/hyperlink" Target="https://www.theatlantic.com/ideas/2026/11/right-strategy-rhetoric-racism/689233/" TargetMode="External"/><Relationship Id="rId13" Type="http://schemas.openxmlformats.org/officeDocument/2006/relationships/hyperlink" Target="https://www.factcheck.org/2026/03/qa-on-the-save-america-act/" TargetMode="External"/><Relationship Id="rId14" Type="http://schemas.openxmlformats.org/officeDocument/2006/relationships/hyperlink" Target="https://apnews.com/article/midterms-trump-voting-election-interference-85ad12449d5900e74bece6df6d8d52d5" TargetMode="External"/><Relationship Id="rId15" Type="http://schemas.openxmlformats.org/officeDocument/2006/relationships/hyperlink" Target="https://www.motherjones.com/politics/2026/11/the-bigots-wag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