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Catholic Teaching Says About LGBTQ People Today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Catholic teaching on LGBTQ people is often reduced to a few lines in the Catechism, but the picture is broader and more nuanced. Scripture, official Church documents and pastoral practice all shape the conversation, from human dignity and welcome to contested questions about relationships and blessings. Here's what Catholics and families should know.</w:t>
      </w:r>
      <w:r/>
    </w:p>
    <w:p>
      <w:pPr>
        <w:pStyle w:val="Heading2"/>
      </w:pPr>
      <w:r>
        <w:t>Essential Takeaways</w:t>
      </w:r>
      <w:r/>
      <w:r/>
    </w:p>
    <w:p>
      <w:pPr>
        <w:pStyle w:val="ListBullet"/>
        <w:spacing w:line="240" w:lineRule="auto"/>
        <w:ind w:left="720"/>
      </w:pPr>
      <w:r/>
      <w:r>
        <w:rPr>
          <w:b/>
        </w:rPr>
        <w:t>Dignity comes first:</w:t>
      </w:r>
      <w:r>
        <w:t xml:space="preserve"> Catholic teaching holds that every person is created and loved by God.</w:t>
      </w:r>
      <w:r/>
    </w:p>
    <w:p>
      <w:pPr>
        <w:pStyle w:val="ListBullet"/>
        <w:spacing w:line="240" w:lineRule="auto"/>
        <w:ind w:left="720"/>
      </w:pPr>
      <w:r/>
      <w:r>
        <w:rPr>
          <w:b/>
        </w:rPr>
        <w:t>Welcome is part of the Catechism:</w:t>
      </w:r>
      <w:r>
        <w:t xml:space="preserve"> It calls for people with same-sex attraction to be treated with respect, compassion and sensitivity.</w:t>
      </w:r>
      <w:r/>
    </w:p>
    <w:p>
      <w:pPr>
        <w:pStyle w:val="ListBullet"/>
        <w:spacing w:line="240" w:lineRule="auto"/>
        <w:ind w:left="720"/>
      </w:pPr>
      <w:r/>
      <w:r>
        <w:rPr>
          <w:b/>
        </w:rPr>
        <w:t>The Bible needs context:</w:t>
      </w:r>
      <w:r>
        <w:t xml:space="preserve"> Interpreting passages on sexuality involves reading them in their historical and cultural setting.</w:t>
      </w:r>
      <w:r/>
    </w:p>
    <w:p>
      <w:pPr>
        <w:pStyle w:val="ListBullet"/>
        <w:spacing w:line="240" w:lineRule="auto"/>
        <w:ind w:left="720"/>
      </w:pPr>
      <w:r/>
      <w:r>
        <w:rPr>
          <w:b/>
        </w:rPr>
        <w:t>Blessings are not marriages:</w:t>
      </w:r>
      <w:r>
        <w:t xml:space="preserve"> The Vatican permits certain spontaneous, non-liturgical blessings for same-sex couples, under defined conditions.</w:t>
      </w:r>
      <w:r/>
    </w:p>
    <w:p>
      <w:pPr>
        <w:pStyle w:val="ListBullet"/>
        <w:spacing w:line="240" w:lineRule="auto"/>
        <w:ind w:left="720"/>
      </w:pPr>
      <w:r/>
      <w:r>
        <w:rPr>
          <w:b/>
        </w:rPr>
        <w:t>Pastoral practice varies:</w:t>
      </w:r>
      <w:r>
        <w:t xml:space="preserve"> Guidance and experiences for LGBTQ people differ across countries, dioceses and parishes.</w:t>
      </w:r>
      <w:r/>
      <w:r/>
    </w:p>
    <w:p>
      <w:pPr>
        <w:pStyle w:val="Heading2"/>
      </w:pPr>
      <w:r>
        <w:t>Catholic teaching begins with human dignity</w:t>
      </w:r>
      <w:r/>
    </w:p>
    <w:p>
      <w:r/>
      <w:r>
        <w:t>The clearest starting point is also the most fundamental: Catholic teaching says every human being has dignity and is loved by God. That includes LGBTQ people. The Catechism's treatment of sexuality is important, but it doesn't exhaust the Church's wider teaching on people, families and pastoral care.</w:t>
      </w:r>
      <w:r/>
    </w:p>
    <w:p>
      <w:r/>
      <w:r>
        <w:t>For anyone who has felt unwelcome in a parish or rejected by relatives, that distinction matters. The Church's stated call to respect and compassion is not a small courtesy; it's a standard against which the way people are treated can be measured.</w:t>
      </w:r>
      <w:r/>
    </w:p>
    <w:p>
      <w:r/>
      <w:r>
        <w:t xml:space="preserve">The Catechism uses the phrase "respect, compassion and sensitivity" when discussing people with same-sex attraction. The wording is a reminder that pastoral care should be more than politeness: it should make room for people to be heard and treated with consideration. </w:t>
      </w:r>
      <w:hyperlink r:id="rId9">
        <w:r>
          <w:rPr>
            <w:color w:val="0000EE"/>
            <w:u w:val="single"/>
          </w:rPr>
          <w:t>[2]</w:t>
        </w:r>
      </w:hyperlink>
      <w:r/>
    </w:p>
    <w:p>
      <w:pPr>
        <w:pStyle w:val="Heading2"/>
      </w:pPr>
      <w:r>
        <w:t>What the Gospels say about welcome</w:t>
      </w:r>
      <w:r/>
    </w:p>
    <w:p>
      <w:r/>
      <w:r>
        <w:t>The Gospels don't record Jesus explicitly discussing homosexuality. They do, however, repeatedly show him engaging with people who were outsiders in their communities, including those whose backgrounds or circumstances made others wary of them.</w:t>
      </w:r>
      <w:r/>
    </w:p>
    <w:p>
      <w:r/>
      <w:r>
        <w:t>That pattern offers a useful lens for pastoral reflection. Jesus speaks with the Samaritan woman, responds to a Roman centurion and shares a meal with Zacchaeus, a tax collector viewed with suspicion. These stories aren't direct rulings on LGBTQ relationships, but they do show the importance of meeting people rather than keeping them at a distance.</w:t>
      </w:r>
      <w:r/>
    </w:p>
    <w:p>
      <w:r/>
      <w:r>
        <w:t>For churches, that leaves a practical question: does a person find a path towards community, or a crowd blocking the way? Welcoming someone doesn't require pretending that every doctrinal question has been settled. It does require treating them as a person, not as a topic of debate.</w:t>
      </w:r>
      <w:r/>
    </w:p>
    <w:p>
      <w:pPr>
        <w:pStyle w:val="Heading2"/>
      </w:pPr>
      <w:r>
        <w:t>Why biblical passages need context</w:t>
      </w:r>
      <w:r/>
    </w:p>
    <w:p>
      <w:r/>
      <w:r>
        <w:t>A handful of biblical passages are often central to arguments about same-sex relationships. Interpreting them responsibly means considering their language, history and place within the wider sweep of Scripture, rather than pulling a line out of its setting and treating it as the whole story.</w:t>
      </w:r>
      <w:r/>
    </w:p>
    <w:p>
      <w:r/>
      <w:r>
        <w:t xml:space="preserve">The Second Vatican Council's </w:t>
      </w:r>
      <w:r>
        <w:rPr>
          <w:i/>
        </w:rPr>
        <w:t>Dei Verbum</w:t>
      </w:r>
      <w:r>
        <w:t xml:space="preserve"> says Scripture should be read with attention to both its content and its unity. That principle matters because biblical texts emerged in worlds with different social structures and assumptions from our own. </w:t>
      </w:r>
      <w:hyperlink r:id="rId10">
        <w:r>
          <w:rPr>
            <w:color w:val="0000EE"/>
            <w:u w:val="single"/>
          </w:rPr>
          <w:t>[4]</w:t>
        </w:r>
      </w:hyperlink>
      <w:r/>
    </w:p>
    <w:p>
      <w:r/>
      <w:r>
        <w:t>Scholars also debate what certain ancient terms in Paul's letters meant, and how closely they relate to modern, mutual same-sex partnerships. Those debates don't automatically settle Catholic doctrine, but they do show why careful interpretation is more useful than slogans.</w:t>
      </w:r>
      <w:r/>
    </w:p>
    <w:p>
      <w:pPr>
        <w:pStyle w:val="Heading2"/>
      </w:pPr>
      <w:r>
        <w:t>The Catechism and same-sex relationships</w:t>
      </w:r>
      <w:r/>
    </w:p>
    <w:p>
      <w:r/>
      <w:r>
        <w:t>The Catechism calls for respect and compassion towards people with same-sex attraction, while also teaching that same-sex sexual acts are morally unacceptable within its account of sexuality and chastity. Those positions sit side by side, and the tension between them is part of why this subject remains difficult for many Catholics.</w:t>
      </w:r>
      <w:r/>
    </w:p>
    <w:p>
      <w:r/>
      <w:r>
        <w:t>It's worth being precise about what the Catechism says, and what it doesn't. Its language about sexual acts should not be read as saying that LGBTQ people lack dignity or are unwanted by God. Nor does a discussion of doctrine remove the responsibility to avoid cruelty, exclusion or humiliation.</w:t>
      </w:r>
      <w:r/>
    </w:p>
    <w:p>
      <w:r/>
      <w:r>
        <w:t xml:space="preserve">In 2023, the Vatican's declaration </w:t>
      </w:r>
      <w:r>
        <w:rPr>
          <w:i/>
        </w:rPr>
        <w:t>Fiducia Supplicans</w:t>
      </w:r>
      <w:r>
        <w:t xml:space="preserve"> allowed certain spontaneous, non-liturgical blessings for same-sex couples. It says these blessings must not resemble a wedding ceremony or be arranged as a formal event. </w:t>
      </w:r>
      <w:hyperlink r:id="rId11">
        <w:r>
          <w:rPr>
            <w:color w:val="0000EE"/>
            <w:u w:val="single"/>
          </w:rPr>
          <w:t>[3]</w:t>
        </w:r>
      </w:hyperlink>
      <w:r>
        <w:t xml:space="preserve"> The document did not change the Church's teaching on marriage, but it did give priests and deacons a limited way to respond pastorally when a blessing is requested.</w:t>
      </w:r>
      <w:r/>
    </w:p>
    <w:p>
      <w:pPr>
        <w:pStyle w:val="Heading2"/>
      </w:pPr>
      <w:r>
        <w:t>Pastoral care varies, so ask what support is available</w:t>
      </w:r>
      <w:r/>
    </w:p>
    <w:p>
      <w:r/>
      <w:r>
        <w:t>Church teaching is one part of the picture; day-to-day pastoral practice is another. Policies and experiences can differ between countries and dioceses, which means a family's experience at one Catholic school or parish may not reflect what happens elsewhere.</w:t>
      </w:r>
      <w:r/>
    </w:p>
    <w:p>
      <w:r/>
      <w:r>
        <w:t>If you're seeking support, start by asking a parish or diocese what its pastoral guidance says and who is available to speak with you. It can help to be clear about what you need, whether that's a conversation, practical support for a family member or a welcoming place to worship.</w:t>
      </w:r>
      <w:r/>
    </w:p>
    <w:p>
      <w:r/>
      <w:r>
        <w:t xml:space="preserve">The Vatican's declaration on blessings gives one example of how pastoral practice can develop within defined limits. </w:t>
      </w:r>
      <w:hyperlink r:id="rId11">
        <w:r>
          <w:rPr>
            <w:color w:val="0000EE"/>
            <w:u w:val="single"/>
          </w:rPr>
          <w:t>[3]</w:t>
        </w:r>
      </w:hyperlink>
      <w:r>
        <w:t xml:space="preserve"> For individuals and families, though, the most immediate measure is often simpler: whether someone listens with care and helps them feel safe enough to take part.</w:t>
      </w:r>
      <w:r/>
    </w:p>
    <w:p>
      <w:r/>
      <w:r>
        <w:t>The details of Catholic teaching are complex, but dignity and humane treatment shouldn't be.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[4]</w:t>
        </w:r>
      </w:hyperlink>
      <w:r>
        <w:t xml:space="preserve">- Paragraph 5: </w:t>
      </w:r>
      <w:hyperlink r:id="rId10">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Paragraph 8: </w:t>
      </w:r>
      <w:hyperlink r:id="rId11">
        <w:r>
          <w:rPr>
            <w:color w:val="0000EE"/>
            <w:u w:val="single"/>
          </w:rPr>
          <w:t>[3]</w:t>
        </w:r>
      </w:hyperlink>
      <w:r>
        <w:t xml:space="preserve">- Paragraph 9: </w:t>
      </w:r>
      <w:hyperlink r:id="rId11">
        <w:r>
          <w:rPr>
            <w:color w:val="0000EE"/>
            <w:u w:val="single"/>
          </w:rPr>
          <w:t>[3]</w:t>
        </w:r>
      </w:hyperlink>
      <w:r>
        <w:t xml:space="preserve">, </w:t>
      </w:r>
      <w:hyperlink r:id="rId13">
        <w:r>
          <w:rPr>
            <w:color w:val="0000EE"/>
            <w:u w:val="single"/>
          </w:rPr>
          <w:t>[7]</w:t>
        </w:r>
      </w:hyperlink>
      <w:r>
        <w:t xml:space="preserve">- Paragraph 10: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https://outreach.faith/2026/11/o-que-ensina-a-igreja-catolica-sobre-as-pessoas-lgbtq/</w:t>
        </w:r>
      </w:hyperlink>
      <w:r>
        <w:t xml:space="preserve"> - Please view link - unable to able to access data</w:t>
      </w:r>
      <w:r/>
    </w:p>
    <w:p>
      <w:pPr>
        <w:pStyle w:val="ListNumber"/>
        <w:spacing w:line="240" w:lineRule="auto"/>
        <w:ind w:left="720"/>
      </w:pPr>
      <w:r/>
      <w:hyperlink r:id="rId9">
        <w:r>
          <w:rPr>
            <w:color w:val="0000EE"/>
            <w:u w:val="single"/>
          </w:rPr>
          <w:t>https://www.vatican.va/content/catechism/en/part_three/section_two/chapter_two/article_6/ii_the_vocation_to_chastity.html</w:t>
        </w:r>
      </w:hyperlink>
      <w:r>
        <w:t xml:space="preserve"> - This section of the Catechism sets out the Catholic Church’s teaching on homosexuality and chastity. Paragraphs 2357–2359 describe the Church’s moral position on same-sex sexual acts and call homosexual people to chastity. They also require that people with homosexual tendencies be treated with respect, compassion and sensitivity, and that unjust discrimination against them be avoided. The article draws on this source for its account of official Catechism teaching, while distinguishing the Church’s judgement about sexual acts from the dignity of LGBTQ people. The Catechism is an authoritative reference for Catholic doctrine, though it does not address every pastoral question raised in the article.</w:t>
      </w:r>
      <w:r/>
    </w:p>
    <w:p>
      <w:pPr>
        <w:pStyle w:val="ListNumber"/>
        <w:spacing w:line="240" w:lineRule="auto"/>
        <w:ind w:left="720"/>
      </w:pPr>
      <w:r/>
      <w:hyperlink r:id="rId11">
        <w:r>
          <w:rPr>
            <w:color w:val="0000EE"/>
            <w:u w:val="single"/>
          </w:rPr>
          <w:t>https://www.vatican.va/roman_curia/congregations/cfaith/documents/rc_ddf_doc_20231218_fiducia-supplicans_en.html</w:t>
        </w:r>
      </w:hyperlink>
      <w:r>
        <w:t xml:space="preserve"> - The Dicastery for the Doctrine of the Faith’s declaration explains the pastoral meaning of blessings and discusses blessings for couples in irregular situations, including same-sex couples. It permits spontaneous, non-liturgical blessings that must not resemble a marriage rite or imply that Catholic teaching on marriage has changed. The document presents such blessings as requests for God’s help and grace, while maintaining the Church’s established doctrine of marriage. This source supports the article’s account of Fiducia Supplicans and the distinction it makes between blessing people and affirming a union as marriage. It also provides the official Vatican text behind the article’s discussion of controversy and pastoral practice.</w:t>
      </w:r>
      <w:r/>
    </w:p>
    <w:p>
      <w:pPr>
        <w:pStyle w:val="ListNumber"/>
        <w:spacing w:line="240" w:lineRule="auto"/>
        <w:ind w:left="720"/>
      </w:pPr>
      <w:r/>
      <w:hyperlink r:id="rId10">
        <w:r>
          <w:rPr>
            <w:color w:val="0000EE"/>
            <w:u w:val="single"/>
          </w:rPr>
          <w:t>https://www.vatican.va/archive/hist_councils/ii_vatican_council/documents/vat-ii_const_19651118_dei-verbum_en.html</w:t>
        </w:r>
      </w:hyperlink>
      <w:r>
        <w:t xml:space="preserve"> - Dei Verbum is the Second Vatican Council’s constitution on divine revelation and the interpretation of Scripture. In paragraph 12, it instructs readers to consider what biblical authors intended, the literary forms they used, and the historical and cultural circumstances in which they wrote. It also calls for attention to the unity of Scripture, Church tradition and the coherence of the faith. The article invokes these principles when arguing that biblical passages about same-sex behaviour should be read in context rather than isolated from their historical setting. This official council document supports its general account of Catholic biblical interpretation, but does not itself settle disputed readings of particular passages.</w:t>
      </w:r>
      <w:r/>
    </w:p>
    <w:p>
      <w:pPr>
        <w:pStyle w:val="ListNumber"/>
        <w:spacing w:line="240" w:lineRule="auto"/>
        <w:ind w:left="720"/>
      </w:pPr>
      <w:r/>
      <w:hyperlink r:id="rId14">
        <w:r>
          <w:rPr>
            <w:color w:val="0000EE"/>
            <w:u w:val="single"/>
          </w:rPr>
          <w:t>https://www.vatican.va/roman_curia/congregations/cfaith/documents/rc_ddf_20231031-documento-mons-negri_en.html</w:t>
        </w:r>
      </w:hyperlink>
      <w:r>
        <w:t xml:space="preserve"> - This Vatican response addresses questions about transgender and homosexual people participating in baptism and marriage-related roles. It says transgender people may receive baptism under the same conditions as other believers, and that an adult transgender person may, under certain conditions, serve as a godparent. It also states that universal canonical law does not prohibit a transgender person from acting as a marriage witness. The response stresses pastoral prudence and consideration of specific circumstances. It supports the article’s description of Vatican guidance on transgender pastoral inclusion, while making clear that some roles are conditional rather than guaranteed. It is a formal response from the Dicastery for the Doctrine of the Faith.</w:t>
      </w:r>
      <w:r/>
    </w:p>
    <w:p>
      <w:pPr>
        <w:pStyle w:val="ListNumber"/>
        <w:spacing w:line="240" w:lineRule="auto"/>
        <w:ind w:left="720"/>
      </w:pPr>
      <w:r/>
      <w:hyperlink r:id="rId15">
        <w:r>
          <w:rPr>
            <w:color w:val="0000EE"/>
            <w:u w:val="single"/>
          </w:rPr>
          <w:t>https://www.vatican.va/archive/ENG0839/_PVH.HTM</w:t>
        </w:r>
      </w:hyperlink>
      <w:r>
        <w:t xml:space="preserve"> - This Vatican-hosted edition of the New American Bible includes the Gospel of Matthew and explanatory notes. The notes on Matthew 8 discuss the Roman centurion who asks Jesus to heal his servant, highlighting the man’s faith and Jesus’ response beyond the usual boundaries of ministry to Israelites. The passage is one of the Gospel narratives the article uses to consider how Jesus responds to people regarded as outsiders. The biblical text and notes support the article’s account of the healing story, but do not themselves draw a connection between the centurion and LGBTQ people. That pastoral analogy is the article author’s interpretation, not a claim made by the Bible edition.</w:t>
      </w:r>
      <w:r/>
    </w:p>
    <w:p>
      <w:pPr>
        <w:pStyle w:val="ListNumber"/>
        <w:spacing w:line="240" w:lineRule="auto"/>
        <w:ind w:left="720"/>
      </w:pPr>
      <w:r/>
      <w:hyperlink r:id="rId13">
        <w:r>
          <w:rPr>
            <w:color w:val="0000EE"/>
            <w:u w:val="single"/>
          </w:rPr>
          <w:t>https://www.usccb.org/resources/ministry-persons-homosexual-inclination-guidelines-pastoral-care-0</w:t>
        </w:r>
      </w:hyperlink>
      <w:r>
        <w:t xml:space="preserve"> - These United States Conference of Catholic Bishops guidelines describe pastoral ministry to people who experience same-sex attraction. Developed by the bishops’ Committee on Doctrine and approved for publication by the full body of bishops, the document frames the Church’s mission as bringing Christ’s message to all people and serving them in his name. It acknowledges challenges involved in ministry to people with same-sex attraction and sets out principles for pastoral care in the United States. This source supports the article’s broader discussion of pastoral accompaniment and church teaching, but reflects a particular national bishops’ conference resource rather than a universal Vatican statement. Its terminology follows the document’s own title and language.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atican.va/content/catechism/en/part_three/section_two/chapter_two/article_6/ii_the_vocation_to_chastity.html" TargetMode="External"/><Relationship Id="rId10" Type="http://schemas.openxmlformats.org/officeDocument/2006/relationships/hyperlink" Target="https://www.vatican.va/archive/hist_councils/ii_vatican_council/documents/vat-ii_const_19651118_dei-verbum_en.html" TargetMode="External"/><Relationship Id="rId11" Type="http://schemas.openxmlformats.org/officeDocument/2006/relationships/hyperlink" Target="https://www.vatican.va/roman_curia/congregations/cfaith/documents/rc_ddf_doc_20231218_fiducia-supplicans_en.html" TargetMode="External"/><Relationship Id="rId12" Type="http://schemas.openxmlformats.org/officeDocument/2006/relationships/hyperlink" Target="https://outreach.faith/2026/11/o-que-ensina-a-igreja-catolica-sobre-as-pessoas-lgbtq/" TargetMode="External"/><Relationship Id="rId13" Type="http://schemas.openxmlformats.org/officeDocument/2006/relationships/hyperlink" Target="https://www.usccb.org/resources/ministry-persons-homosexual-inclination-guidelines-pastoral-care-0" TargetMode="External"/><Relationship Id="rId14" Type="http://schemas.openxmlformats.org/officeDocument/2006/relationships/hyperlink" Target="https://www.vatican.va/roman_curia/congregations/cfaith/documents/rc_ddf_20231031-documento-mons-negri_en.html" TargetMode="External"/><Relationship Id="rId15" Type="http://schemas.openxmlformats.org/officeDocument/2006/relationships/hyperlink" Target="https://www.vatican.va/archive/ENG0839/_PVH.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