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Stonewall’s Rebuilding Challenge: Trust, Debate and Reform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Stonewall is facing a test of trust as chief executive Simon Blake seeks to steer the charity through Britain’s heated debate over transgender rights. His recent Guardian interview highlighted anxiety among trans people, but critics say rebuilding confidence will also mean confronting Stonewall’s past campaigning and listening to lesbians, gay men and bisexual people who feel sidelined.</w:t>
      </w:r>
      <w:r/>
    </w:p>
    <w:p>
      <w:pPr>
        <w:pStyle w:val="Heading2"/>
      </w:pPr>
      <w:r>
        <w:t>Stonewall’s next chapter starts with a difficult question</w:t>
      </w:r>
      <w:r/>
    </w:p>
    <w:p>
      <w:r/>
      <w:r>
        <w:t xml:space="preserve">The challenge facing Stonewall isn’t simply how to lower the temperature of the trans debate. It’s whether the charity can rebuild trust among people who believe its earlier approach helped deepen divisions. In a Guardian interview, Blake described friends worrying about whether they could safely use public toilets, a small, everyday concern that carries a heavy emotional charge. </w:t>
      </w:r>
      <w:hyperlink r:id="rId9">
        <w:r>
          <w:rPr>
            <w:color w:val="0000EE"/>
            <w:u w:val="single"/>
          </w:rPr>
          <w:t>[3]</w:t>
        </w:r>
      </w:hyperlink>
      <w:r/>
    </w:p>
    <w:p>
      <w:r/>
      <w:r>
        <w:t xml:space="preserve">Blake became Stonewall’s chief executive after a long career in the charity sector, including senior roles at LGBT organisations. Stonewall announced his appointment in 2019, describing him as an experienced advocate for equality and inclusion. </w:t>
      </w:r>
      <w:hyperlink r:id="rId10">
        <w:r>
          <w:rPr>
            <w:color w:val="0000EE"/>
            <w:u w:val="single"/>
          </w:rPr>
          <w:t>[4]</w:t>
        </w:r>
      </w:hyperlink>
      <w:r/>
    </w:p>
    <w:p>
      <w:pPr>
        <w:pStyle w:val="Heading2"/>
      </w:pPr>
      <w:r>
        <w:t>Critics want more than a change in tone</w:t>
      </w:r>
      <w:r/>
    </w:p>
    <w:p>
      <w:r/>
      <w:r>
        <w:t xml:space="preserve">The central criticism from Stonewall’s opponents is that the organisation has yet to acknowledge how its own guidance and public positions contributed to the present tensions. The argument is not just about messaging. It concerns how employers interpret equality advice, and whether the needs and boundaries of different groups are being recognised. </w:t>
      </w:r>
      <w:hyperlink r:id="rId11">
        <w:r>
          <w:rPr>
            <w:color w:val="0000EE"/>
            <w:u w:val="single"/>
          </w:rPr>
          <w:t>[2]</w:t>
        </w:r>
      </w:hyperlink>
      <w:r/>
    </w:p>
    <w:p>
      <w:r/>
      <w:r>
        <w:t xml:space="preserve">That dispute has been particularly visible around Stonewall’s Diversity Champions programme, which involved employers receiving guidance and support on LGBT inclusion. The scheme drew scrutiny over the charity’s influence in public bodies, while the government’s involvement was also questioned. </w:t>
      </w:r>
      <w:hyperlink r:id="rId12">
        <w:r>
          <w:rPr>
            <w:color w:val="0000EE"/>
            <w:u w:val="single"/>
          </w:rPr>
          <w:t>[5]</w:t>
        </w:r>
      </w:hyperlink>
      <w:r/>
    </w:p>
    <w:p>
      <w:pPr>
        <w:pStyle w:val="Heading2"/>
      </w:pPr>
      <w:r>
        <w:t>What the law says, and what guidance can’t settle</w:t>
      </w:r>
      <w:r/>
    </w:p>
    <w:p>
      <w:r/>
      <w:r>
        <w:t xml:space="preserve">Legal protections offer an important point of reference, but they don’t resolve every disagreement about policy or practice. The Equality and Human Rights Commission explains that gender reassignment is a protected characteristic under the Equality Act 2010. Its guidance sets out protection from discrimination, harassment and victimisation in relevant circumstances. </w:t>
      </w:r>
      <w:hyperlink r:id="rId13">
        <w:r>
          <w:rPr>
            <w:color w:val="0000EE"/>
            <w:u w:val="single"/>
          </w:rPr>
          <w:t>[6]</w:t>
        </w:r>
      </w:hyperlink>
      <w:r/>
    </w:p>
    <w:p>
      <w:r/>
      <w:r>
        <w:t xml:space="preserve">For employers, that makes clear policies and careful training essential. But guidance should be applied with attention to the people affected, rather than treated as a substitute for listening or legal advice. The distinctions between legislation, organisational recommendations and individual experience can get blurred quickly, especially in a debate as charged as this one. </w:t>
      </w:r>
      <w:hyperlink r:id="rId13">
        <w:r>
          <w:rPr>
            <w:color w:val="0000EE"/>
            <w:u w:val="single"/>
          </w:rPr>
          <w:t>[6]</w:t>
        </w:r>
      </w:hyperlink>
      <w:r/>
    </w:p>
    <w:p>
      <w:pPr>
        <w:pStyle w:val="Heading2"/>
      </w:pPr>
      <w:r>
        <w:t>Why the argument reaches beyond Stonewall</w:t>
      </w:r>
      <w:r/>
    </w:p>
    <w:p>
      <w:r/>
      <w:r>
        <w:t xml:space="preserve">Stonewall’s influence has extended well beyond its own membership. Its work with employers and public institutions helped shape how many organisations approached LGBT inclusion, which is why disputes about its advice have attracted attention from people inside and outside the charity sector. </w:t>
      </w:r>
      <w:hyperlink r:id="rId12">
        <w:r>
          <w:rPr>
            <w:color w:val="0000EE"/>
            <w:u w:val="single"/>
          </w:rPr>
          <w:t>[5]</w:t>
        </w:r>
      </w:hyperlink>
      <w:r/>
    </w:p>
    <w:p>
      <w:r/>
      <w:r>
        <w:t xml:space="preserve">At the same time, experiences of transgender people are varied, and public arguments can flatten that complexity. Reporting on individual transition stories has illustrated the deeply personal nature of those experiences, while the legal framework recognises gender reassignment as a protected characteristic. Neither fact means every policy question has an easy answer. </w:t>
      </w:r>
      <w:hyperlink r:id="rId14">
        <w:r>
          <w:rPr>
            <w:color w:val="0000EE"/>
            <w:u w:val="single"/>
          </w:rPr>
          <w:t>[7]</w:t>
        </w:r>
      </w:hyperlink>
      <w:r>
        <w:t xml:space="preserve"> </w:t>
      </w:r>
      <w:hyperlink r:id="rId13">
        <w:r>
          <w:rPr>
            <w:color w:val="0000EE"/>
            <w:u w:val="single"/>
          </w:rPr>
          <w:t>[6]</w:t>
        </w:r>
      </w:hyperlink>
      <w:r/>
    </w:p>
    <w:p>
      <w:pPr>
        <w:pStyle w:val="Heading2"/>
      </w:pPr>
      <w:r>
        <w:t>Rebuilding trust will take more than reassurance</w:t>
      </w:r>
      <w:r/>
    </w:p>
    <w:p>
      <w:r/>
      <w:r>
        <w:t xml:space="preserve">Blake’s appointment gave Stonewall an opportunity to set a new direction, but a fresh leader alone can’t settle long-running concerns. The organisation’s stated mission and public profile make it especially important to explain how it will balance inclusion, legal duties and the distinct concerns raised by lesbian, gay and bisexual people. </w:t>
      </w:r>
      <w:hyperlink r:id="rId10">
        <w:r>
          <w:rPr>
            <w:color w:val="0000EE"/>
            <w:u w:val="single"/>
          </w:rPr>
          <w:t>[4]</w:t>
        </w:r>
      </w:hyperlink>
      <w:r>
        <w:t xml:space="preserve"> </w:t>
      </w:r>
      <w:hyperlink r:id="rId11">
        <w:r>
          <w:rPr>
            <w:color w:val="0000EE"/>
            <w:u w:val="single"/>
          </w:rPr>
          <w:t>[2]</w:t>
        </w:r>
      </w:hyperlink>
      <w:r/>
    </w:p>
    <w:p>
      <w:r/>
      <w:r>
        <w:t xml:space="preserve">A more constructive debate would make room for disagreement without dismissing anyone’s safety or dignity. For Stonewall, that may mean being open about past decisions, listening to criticism and showing how future advice is developed. Trust is rarely rebuilt by insisting that everything is fine; it grows when an organisation can answer hard questions plainly. </w:t>
      </w:r>
      <w:hyperlink r:id="rId11">
        <w:r>
          <w:rPr>
            <w:color w:val="0000EE"/>
            <w:u w:val="single"/>
          </w:rPr>
          <w:t>[2]</w:t>
        </w:r>
      </w:hyperlink>
      <w:r>
        <w:t xml:space="preserve"> </w:t>
      </w:r>
      <w:hyperlink r:id="rId9">
        <w:r>
          <w:rPr>
            <w:color w:val="0000EE"/>
            <w:u w:val="single"/>
          </w:rPr>
          <w:t>[3]</w:t>
        </w:r>
      </w:hyperlink>
      <w:r/>
    </w:p>
    <w:p>
      <w:r/>
      <w:r>
        <w:t>Stonewall’s next step is simple to describe, if harder to deliver: listen carefully, explain clearly and earn trust again.</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[3]</w:t>
        </w:r>
      </w:hyperlink>
      <w:r>
        <w:t xml:space="preserve">- Paragraph 2: </w:t>
      </w:r>
      <w:hyperlink r:id="rId10">
        <w:r>
          <w:rPr>
            <w:color w:val="0000EE"/>
            <w:u w:val="single"/>
          </w:rPr>
          <w:t>[4]</w:t>
        </w:r>
      </w:hyperlink>
      <w:r>
        <w:t xml:space="preserve">- Paragraph 3: </w:t>
      </w:r>
      <w:hyperlink r:id="rId11">
        <w:r>
          <w:rPr>
            <w:color w:val="0000EE"/>
            <w:u w:val="single"/>
          </w:rPr>
          <w:t>[2]</w:t>
        </w:r>
      </w:hyperlink>
      <w:r>
        <w:t xml:space="preserve">- Paragraph 4: </w:t>
      </w:r>
      <w:hyperlink r:id="rId12">
        <w:r>
          <w:rPr>
            <w:color w:val="0000EE"/>
            <w:u w:val="single"/>
          </w:rPr>
          <w:t>[5]</w:t>
        </w:r>
      </w:hyperlink>
      <w:r>
        <w:t xml:space="preserve">- Paragraph 5: </w:t>
      </w:r>
      <w:hyperlink r:id="rId13">
        <w:r>
          <w:rPr>
            <w:color w:val="0000EE"/>
            <w:u w:val="single"/>
          </w:rPr>
          <w:t>[6]</w:t>
        </w:r>
      </w:hyperlink>
      <w:r>
        <w:t xml:space="preserve">- Paragraph 6: </w:t>
      </w:r>
      <w:hyperlink r:id="rId13">
        <w:r>
          <w:rPr>
            <w:color w:val="0000EE"/>
            <w:u w:val="single"/>
          </w:rPr>
          <w:t>[6]</w:t>
        </w:r>
      </w:hyperlink>
      <w:r>
        <w:t xml:space="preserve">- Paragraph 7: </w:t>
      </w:r>
      <w:hyperlink r:id="rId12">
        <w:r>
          <w:rPr>
            <w:color w:val="0000EE"/>
            <w:u w:val="single"/>
          </w:rPr>
          <w:t>[5]</w:t>
        </w:r>
      </w:hyperlink>
      <w:r>
        <w:t xml:space="preserve">- Paragraph 8: </w:t>
      </w:r>
      <w:hyperlink r:id="rId14">
        <w:r>
          <w:rPr>
            <w:color w:val="0000EE"/>
            <w:u w:val="single"/>
          </w:rPr>
          <w:t>[7]</w:t>
        </w:r>
      </w:hyperlink>
      <w:r>
        <w:t xml:space="preserve">, </w:t>
      </w:r>
      <w:hyperlink r:id="rId13">
        <w:r>
          <w:rPr>
            <w:color w:val="0000EE"/>
            <w:u w:val="single"/>
          </w:rPr>
          <w:t>[6]</w:t>
        </w:r>
      </w:hyperlink>
      <w:r>
        <w:t xml:space="preserve">- Paragraph 9: </w:t>
      </w:r>
      <w:hyperlink r:id="rId10">
        <w:r>
          <w:rPr>
            <w:color w:val="0000EE"/>
            <w:u w:val="single"/>
          </w:rPr>
          <w:t>[4]</w:t>
        </w:r>
      </w:hyperlink>
      <w:r>
        <w:t xml:space="preserve">, </w:t>
      </w:r>
      <w:hyperlink r:id="rId11">
        <w:r>
          <w:rPr>
            <w:color w:val="0000EE"/>
            <w:u w:val="single"/>
          </w:rPr>
          <w:t>[2]</w:t>
        </w:r>
      </w:hyperlink>
      <w:r>
        <w:t xml:space="preserve">- Paragraph 10: </w:t>
      </w:r>
      <w:hyperlink r:id="rId11">
        <w:r>
          <w:rPr>
            <w:color w:val="0000EE"/>
            <w:u w:val="single"/>
          </w:rPr>
          <w:t>[2]</w:t>
        </w:r>
      </w:hyperlink>
      <w:r>
        <w:t xml:space="preserve">,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https://anglicanmainstream.org/article/stonewall-cannot-rebuild-without-admitting-its-mistakes/</w:t>
        </w:r>
      </w:hyperlink>
      <w:r>
        <w:t xml:space="preserve"> - Please view link - unable to able to access data</w:t>
      </w:r>
      <w:r/>
    </w:p>
    <w:p>
      <w:pPr>
        <w:pStyle w:val="ListNumber"/>
        <w:spacing w:line="240" w:lineRule="auto"/>
        <w:ind w:left="720"/>
      </w:pPr>
      <w:r/>
      <w:hyperlink r:id="rId11">
        <w:r>
          <w:rPr>
            <w:color w:val="0000EE"/>
            <w:u w:val="single"/>
          </w:rPr>
          <w:t>https://anglicanmainstream.org/article/stonewall-cannot-rebuild-without-admitting-its-mistakes/</w:t>
        </w:r>
      </w:hyperlink>
      <w:r>
        <w:t xml:space="preserve"> - Josephine Bartosch argues that Stonewall’s chief executive, Simon Blake, cannot rebuild confidence in the charity without acknowledging its past campaigning and its effects on lesbian, gay and bisexual people. She responds to Blake’s Guardian interview, in which he described trans people’s concerns about participating in public life, receiving healthcare and using workplace toilets. Bartosch attributes some of the uncertainty he describes to Stonewall’s earlier advocacy, including its workplace guidance and positions on gender identity and sexual orientation. The article also criticises the charity’s former leaders, refers to disputes about lesbian identity and sexual boundaries, and questions Stonewall’s public funding and employer membership.</w:t>
      </w:r>
      <w:r/>
    </w:p>
    <w:p>
      <w:pPr>
        <w:pStyle w:val="ListNumber"/>
        <w:spacing w:line="240" w:lineRule="auto"/>
        <w:ind w:left="720"/>
      </w:pPr>
      <w:r/>
      <w:hyperlink r:id="rId9">
        <w:r>
          <w:rPr>
            <w:color w:val="0000EE"/>
            <w:u w:val="single"/>
          </w:rPr>
          <w:t>https://www.theguardian.com/society/2026/nov/01/progress-takes-time-stonewall-ceo-on-turning-down-the-heat-on-the-trans-debate</w:t>
        </w:r>
      </w:hyperlink>
      <w:r>
        <w:t xml:space="preserve"> - Gaby Hinsliff interviews Stonewall chief executive Simon Blake about the charity’s approach to the UK debate over transgender rights. Blake describes concerns among trans people about social acceptance, public spaces, healthcare and workplace toilets, and recounts friends’ unease about using toilets. The article reports survey findings about respondents’ expectations for equality and experiences of acceptance. It also explains that Stonewall has faced institutional departures from its workplace diversity programme following controversy about its methods and legal advice. Blake says he wants to rebuild public trust through a less combative approach, drawing on Stonewall’s earlier campaigning history, while acknowledging the current law and supporting protections for trans people.</w:t>
      </w:r>
      <w:r/>
    </w:p>
    <w:p>
      <w:pPr>
        <w:pStyle w:val="ListNumber"/>
        <w:spacing w:line="240" w:lineRule="auto"/>
        <w:ind w:left="720"/>
      </w:pPr>
      <w:r/>
      <w:hyperlink r:id="rId10">
        <w:r>
          <w:rPr>
            <w:color w:val="0000EE"/>
            <w:u w:val="single"/>
          </w:rPr>
          <w:t>https://www.stonewall.org.uk/news/stonewall-welcomes-simon-blake-obe-new-ceo</w:t>
        </w:r>
      </w:hyperlink>
      <w:r>
        <w:t xml:space="preserve"> - Stonewall’s announcement introduces Simon Blake as its incoming chief executive in June 2024, with his appointment due to begin in September. It outlines his previous leadership roles at Mental Health First Aid England, the National Union of Students and Brook, alongside work in education and health. The announcement notes his prior involvement with Stonewall, including work on campaigns concerning Section 28 and the age of consent, and his service as the charity’s deputy chair. It presents his appointment as an opportunity to renew Stonewall’s work on LGBTQ+ equality in workplaces and policy, and describes the organisation’s stated aims and priorities at that time.</w:t>
      </w:r>
      <w:r/>
    </w:p>
    <w:p>
      <w:pPr>
        <w:pStyle w:val="ListNumber"/>
        <w:spacing w:line="240" w:lineRule="auto"/>
        <w:ind w:left="720"/>
      </w:pPr>
      <w:r/>
      <w:hyperlink r:id="rId12">
        <w:r>
          <w:rPr>
            <w:color w:val="0000EE"/>
            <w:u w:val="single"/>
          </w:rPr>
          <w:t>https://www.thepinknews.com/2021/06/18/government-cabinet-office-geo-stonewall-diversity-champions-scheme/</w:t>
        </w:r>
      </w:hyperlink>
      <w:r>
        <w:t xml:space="preserve"> - This report examines the Cabinet Office’s departure from Stonewall’s Diversity Champions programme and the differing accounts of when that withdrawal occurred. It describes the scheme as an employers’ programme and reports that it had more than 850 members, including over 250 government departments and public bodies. The article gives the reported starting membership fee and explains that participants could be assessed through Stonewall’s Workplace Equality Index. It also records the government’s stated value-for-money concern and sets the decision against wider discussion of public bodies leaving the programme. The report provides context for the article’s claims about Stonewall’s reach among employers and government organisations.</w:t>
      </w:r>
      <w:r/>
    </w:p>
    <w:p>
      <w:pPr>
        <w:pStyle w:val="ListNumber"/>
        <w:spacing w:line="240" w:lineRule="auto"/>
        <w:ind w:left="720"/>
      </w:pPr>
      <w:r/>
      <w:hyperlink r:id="rId13">
        <w:r>
          <w:rPr>
            <w:color w:val="0000EE"/>
            <w:u w:val="single"/>
          </w:rPr>
          <w:t>https://www.equalityhumanrights.com/guidance/protected-characteristics/gender-reassignment-discrimination</w:t>
        </w:r>
      </w:hyperlink>
      <w:r>
        <w:t xml:space="preserve"> - The Equality and Human Rights Commission explains how the Equality Act 2010 protects people from discrimination related to gender reassignment. Its guidance says protection can apply to someone proposing to undergo, undergoing or having undergone a process to reassign sex, without requiring medical treatment or a Gender Recognition Certificate. It describes direct and indirect discrimination, harassment and victimisation, with workplace and service examples. The guidance also discusses circumstances in which different treatment may be lawful, including certain single-sex services, subject to legal requirements. This official resource provides a legal reference point for understanding protections relevant to debates about workplace policies, public services and access to facilities.</w:t>
      </w:r>
      <w:r/>
    </w:p>
    <w:p>
      <w:pPr>
        <w:pStyle w:val="ListNumber"/>
        <w:spacing w:line="240" w:lineRule="auto"/>
        <w:ind w:left="720"/>
      </w:pPr>
      <w:r/>
      <w:hyperlink r:id="rId14">
        <w:r>
          <w:rPr>
            <w:color w:val="0000EE"/>
            <w:u w:val="single"/>
          </w:rPr>
          <w:t>https://www.phillymag.com/news/2011/07/14/real-trans-story/</w:t>
        </w:r>
      </w:hyperlink>
      <w:r>
        <w:t xml:space="preserve"> - Natalie Hope McDonald profiles Alex Drummond, describing his account of his gender identity and his book about male transvestism and transsexualism. The article reports that Drummond described himself as a straight man who enjoyed wearing women’s clothing and make-up, while also explaining that he understood himself as transgender and experienced a blend of male and female identity. His quoted account emphasises clothing as a way of expressing a female aspect of himself. The piece offers background on Drummond’s own description and published work, rather than independently establishing the later claims made in the supplied article about Stonewall’s treatment of his identity.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uardian.com/society/2026/nov/01/progress-takes-time-stonewall-ceo-on-turning-down-the-heat-on-the-trans-debate" TargetMode="External"/><Relationship Id="rId10" Type="http://schemas.openxmlformats.org/officeDocument/2006/relationships/hyperlink" Target="https://www.stonewall.org.uk/news/stonewall-welcomes-simon-blake-obe-new-ceo" TargetMode="External"/><Relationship Id="rId11" Type="http://schemas.openxmlformats.org/officeDocument/2006/relationships/hyperlink" Target="https://anglicanmainstream.org/article/stonewall-cannot-rebuild-without-admitting-its-mistakes/" TargetMode="External"/><Relationship Id="rId12" Type="http://schemas.openxmlformats.org/officeDocument/2006/relationships/hyperlink" Target="https://www.thepinknews.com/2021/06/18/government-cabinet-office-geo-stonewall-diversity-champions-scheme/" TargetMode="External"/><Relationship Id="rId13" Type="http://schemas.openxmlformats.org/officeDocument/2006/relationships/hyperlink" Target="https://www.equalityhumanrights.com/guidance/protected-characteristics/gender-reassignment-discrimination" TargetMode="External"/><Relationship Id="rId14" Type="http://schemas.openxmlformats.org/officeDocument/2006/relationships/hyperlink" Target="https://www.phillymag.com/news/2011/07/14/real-trans-sto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