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LGBTQ+ Military Service Policies Have Changed Over Time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Harvard Kennedy School discussion is examining how LGBTQ+ military service policies have shifted, and what those changes have meant for people in uniform. From the repeal of Don’t Ask, Don’t Tell to changing rules for transgender service members, the conversation puts today’s restrictions in a longer history of policy, advocacy and personal experience.</w:t>
      </w:r>
      <w:r/>
    </w:p>
    <w:p>
      <w:pPr>
        <w:pStyle w:val="Heading2"/>
      </w:pPr>
      <w:r>
        <w:t>The policy story is still unfolding</w:t>
      </w:r>
      <w:r/>
    </w:p>
    <w:p>
      <w:r/>
      <w:r>
        <w:t xml:space="preserve">Military rules on LGBTQ+ service have changed repeatedly, leaving a history that’s anything but straightforward. Harvard Kennedy School’s discussion brings that history into focus, with particular attention to current restrictions on transgender service and the effects policy can have on individuals, military organisations and operations. </w:t>
      </w:r>
      <w:hyperlink r:id="rId9">
        <w:r>
          <w:rPr>
            <w:color w:val="0000EE"/>
            <w:u w:val="single"/>
          </w:rPr>
          <w:t>[2]</w:t>
        </w:r>
      </w:hyperlink>
      <w:r>
        <w:t xml:space="preserve">, </w:t>
      </w:r>
      <w:hyperlink r:id="rId10">
        <w:r>
          <w:rPr>
            <w:color w:val="0000EE"/>
            <w:u w:val="single"/>
          </w:rPr>
          <w:t>[4]</w:t>
        </w:r>
      </w:hyperlink>
      <w:r>
        <w:t xml:space="preserve">, </w:t>
      </w:r>
      <w:hyperlink r:id="rId11">
        <w:r>
          <w:rPr>
            <w:color w:val="0000EE"/>
            <w:u w:val="single"/>
          </w:rPr>
          <w:t>[6]</w:t>
        </w:r>
      </w:hyperlink>
      <w:r/>
    </w:p>
    <w:p>
      <w:r/>
      <w:r>
        <w:t xml:space="preserve">For service members, these changes aren’t abstract debates. They can shape whether people are able to serve openly, how they’re treated at work and how military organisations put policy into practice. </w:t>
      </w:r>
      <w:hyperlink r:id="rId9">
        <w:r>
          <w:rPr>
            <w:color w:val="0000EE"/>
            <w:u w:val="single"/>
          </w:rPr>
          <w:t>[2]</w:t>
        </w:r>
      </w:hyperlink>
      <w:r>
        <w:t xml:space="preserve">, </w:t>
      </w:r>
      <w:hyperlink r:id="rId12">
        <w:r>
          <w:rPr>
            <w:color w:val="0000EE"/>
            <w:u w:val="single"/>
          </w:rPr>
          <w:t>[7]</w:t>
        </w:r>
      </w:hyperlink>
      <w:r/>
    </w:p>
    <w:p>
      <w:pPr>
        <w:pStyle w:val="Heading2"/>
      </w:pPr>
      <w:r>
        <w:t>From Don’t Ask, Don’t Tell to repeal</w:t>
      </w:r>
      <w:r/>
    </w:p>
    <w:p>
      <w:r/>
      <w:r>
        <w:t xml:space="preserve">The 2010 repeal legislation for Don’t Ask, Don’t Tell marked a major turning point in policy on gay, lesbian and bisexual personnel. The law provided for the policy’s repeal after specified conditions were met, and the change took effect in 2011. </w:t>
      </w:r>
      <w:hyperlink r:id="rId13">
        <w:r>
          <w:rPr>
            <w:color w:val="0000EE"/>
            <w:u w:val="single"/>
          </w:rPr>
          <w:t>[3]</w:t>
        </w:r>
      </w:hyperlink>
      <w:r/>
    </w:p>
    <w:p>
      <w:r/>
      <w:r>
        <w:t xml:space="preserve">That shift followed years of advocacy and debate. But a change in formal rules doesn’t automatically settle every question about acceptance, implementation or the day-to-day experience of serving. </w:t>
      </w:r>
      <w:hyperlink r:id="rId9">
        <w:r>
          <w:rPr>
            <w:color w:val="0000EE"/>
            <w:u w:val="single"/>
          </w:rPr>
          <w:t>[2]</w:t>
        </w:r>
      </w:hyperlink>
      <w:r>
        <w:t xml:space="preserve">, </w:t>
      </w:r>
      <w:hyperlink r:id="rId13">
        <w:r>
          <w:rPr>
            <w:color w:val="0000EE"/>
            <w:u w:val="single"/>
          </w:rPr>
          <w:t>[3]</w:t>
        </w:r>
      </w:hyperlink>
      <w:r/>
    </w:p>
    <w:p>
      <w:pPr>
        <w:pStyle w:val="Heading2"/>
      </w:pPr>
      <w:r>
        <w:t>Transgender service rules have shifted, too</w:t>
      </w:r>
      <w:r/>
    </w:p>
    <w:p>
      <w:r/>
      <w:r>
        <w:t xml:space="preserve">In 2016, then-Defence Secretary Ash Carter announced a policy that allowed transgender people to serve openly, alongside plans for implementation across the military. The announcement presented the change as a matter of readiness and access to qualified personnel. </w:t>
      </w:r>
      <w:hyperlink r:id="rId10">
        <w:r>
          <w:rPr>
            <w:color w:val="0000EE"/>
            <w:u w:val="single"/>
          </w:rPr>
          <w:t>[4]</w:t>
        </w:r>
      </w:hyperlink>
      <w:r/>
    </w:p>
    <w:p>
      <w:r/>
      <w:r>
        <w:t xml:space="preserve">The rules later changed again. The Department of Defense announced policy updates in 2021, while a separate Defence Department account describes how officials framed a subsequent policy approach around treating people with dignity. Together, the announcements show how quickly service rules can move with changes in leadership and policy. </w:t>
      </w:r>
      <w:hyperlink r:id="rId14">
        <w:r>
          <w:rPr>
            <w:color w:val="0000EE"/>
            <w:u w:val="single"/>
          </w:rPr>
          <w:t>[5]</w:t>
        </w:r>
      </w:hyperlink>
      <w:r>
        <w:t xml:space="preserve">, </w:t>
      </w:r>
      <w:hyperlink r:id="rId11">
        <w:r>
          <w:rPr>
            <w:color w:val="0000EE"/>
            <w:u w:val="single"/>
          </w:rPr>
          <w:t>[6]</w:t>
        </w:r>
      </w:hyperlink>
      <w:r/>
    </w:p>
    <w:p>
      <w:pPr>
        <w:pStyle w:val="Heading2"/>
      </w:pPr>
      <w:r>
        <w:t>What changing rules mean for military life</w:t>
      </w:r>
      <w:r/>
    </w:p>
    <w:p>
      <w:r/>
      <w:r>
        <w:t xml:space="preserve">The Harvard Kennedy School session is set to explore how policy shifts affect service members, military institutions and operations, as well as how advocacy has developed over time. RAND research on transgender personnel in the US military also examines issues including readiness, healthcare and the potential effects of policy choices. </w:t>
      </w:r>
      <w:hyperlink r:id="rId9">
        <w:r>
          <w:rPr>
            <w:color w:val="0000EE"/>
            <w:u w:val="single"/>
          </w:rPr>
          <w:t>[2]</w:t>
        </w:r>
      </w:hyperlink>
      <w:r>
        <w:t xml:space="preserve">, </w:t>
      </w:r>
      <w:hyperlink r:id="rId12">
        <w:r>
          <w:rPr>
            <w:color w:val="0000EE"/>
            <w:u w:val="single"/>
          </w:rPr>
          <w:t>[7]</w:t>
        </w:r>
      </w:hyperlink>
      <w:r/>
    </w:p>
    <w:p>
      <w:r/>
      <w:r>
        <w:t xml:space="preserve">That wider view matters: a rule may be written in Washington, but its consequences are felt in units, workplaces and people’s private lives. The discussion will include current and former service members directly affected by these policies, offering an opportunity to hear experiences alongside the policy history. </w:t>
      </w:r>
      <w:hyperlink r:id="rId9">
        <w:r>
          <w:rPr>
            <w:color w:val="0000EE"/>
            <w:u w:val="single"/>
          </w:rPr>
          <w:t>[2]</w:t>
        </w:r>
      </w:hyperlink>
      <w:r/>
    </w:p>
    <w:p>
      <w:pPr>
        <w:pStyle w:val="Heading2"/>
      </w:pPr>
      <w:r>
        <w:t>A conversation grounded in lived experience</w:t>
      </w:r>
      <w:r/>
    </w:p>
    <w:p>
      <w:r/>
      <w:r>
        <w:t xml:space="preserve">Julia Minson, a professor of public policy, will moderate the session. Its speakers include Tim McCarthy, a lecturer at the Harvard Graduate School of Education and faculty chair for the Global LGBTQI+ Human Rights Program at the Carr Center for Human Rights, as well as current and former service members. </w:t>
      </w:r>
      <w:hyperlink r:id="rId9">
        <w:r>
          <w:rPr>
            <w:color w:val="0000EE"/>
            <w:u w:val="single"/>
          </w:rPr>
          <w:t>[2]</w:t>
        </w:r>
      </w:hyperlink>
      <w:r/>
    </w:p>
    <w:p>
      <w:r/>
      <w:r>
        <w:t xml:space="preserve">The event is described as private and off the record, with all welcome. That format makes room for a franker conversation about what policy changes look like beyond the headlines, though the event itself won’t be a public record of participants’ remarks. </w:t>
      </w:r>
      <w:hyperlink r:id="rId9">
        <w:r>
          <w:rPr>
            <w:color w:val="0000EE"/>
            <w:u w:val="single"/>
          </w:rPr>
          <w:t>[2]</w:t>
        </w:r>
      </w:hyperlink>
      <w:r/>
    </w:p>
    <w:p>
      <w:r/>
      <w:r>
        <w:t xml:space="preserve">Understanding the history helps explain why military policy remains a live issue: the rules can change, but their effects don’t simply disappear when a new announcement arrives. </w:t>
      </w:r>
      <w:hyperlink r:id="rId9">
        <w:r>
          <w:rPr>
            <w:color w:val="0000EE"/>
            <w:u w:val="single"/>
          </w:rPr>
          <w:t>[2]</w:t>
        </w:r>
      </w:hyperlink>
      <w:r>
        <w:t xml:space="preserve">, </w:t>
      </w:r>
      <w:hyperlink r:id="rId10">
        <w:r>
          <w:rPr>
            <w:color w:val="0000EE"/>
            <w:u w:val="single"/>
          </w:rPr>
          <w:t>[4]</w:t>
        </w:r>
      </w:hyperlink>
      <w:r>
        <w:t xml:space="preserve">, </w:t>
      </w:r>
      <w:hyperlink r:id="rId11">
        <w:r>
          <w:rPr>
            <w:color w:val="0000EE"/>
            <w:u w:val="single"/>
          </w:rPr>
          <w:t>[6]</w:t>
        </w:r>
      </w:hyperlink>
      <w:r/>
    </w:p>
    <w:p>
      <w:r/>
      <w:r>
        <w:rPr>
          <w:b/>
        </w:rPr>
        <w:t>Following the policy timeline can help make sense of the debate and its human stakes.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w:t>
      </w:r>
      <w:hyperlink r:id="rId11">
        <w:r>
          <w:rPr>
            <w:color w:val="0000EE"/>
            <w:u w:val="single"/>
          </w:rPr>
          <w:t>[6]</w:t>
        </w:r>
      </w:hyperlink>
      <w:r>
        <w:t xml:space="preserve">- Paragraph 2: </w:t>
      </w:r>
      <w:hyperlink r:id="rId9">
        <w:r>
          <w:rPr>
            <w:color w:val="0000EE"/>
            <w:u w:val="single"/>
          </w:rPr>
          <w:t>[2]</w:t>
        </w:r>
      </w:hyperlink>
      <w:r>
        <w:t xml:space="preserve">, </w:t>
      </w:r>
      <w:hyperlink r:id="rId12">
        <w:r>
          <w:rPr>
            <w:color w:val="0000EE"/>
            <w:u w:val="single"/>
          </w:rPr>
          <w:t>[7]</w:t>
        </w:r>
      </w:hyperlink>
      <w:r>
        <w:t xml:space="preserve">- Paragraph 3: </w:t>
      </w:r>
      <w:hyperlink r:id="rId13">
        <w:r>
          <w:rPr>
            <w:color w:val="0000EE"/>
            <w:u w:val="single"/>
          </w:rPr>
          <w:t>[3]</w:t>
        </w:r>
      </w:hyperlink>
      <w:r>
        <w:t xml:space="preserve">- Paragraph 4: </w:t>
      </w:r>
      <w:hyperlink r:id="rId9">
        <w:r>
          <w:rPr>
            <w:color w:val="0000EE"/>
            <w:u w:val="single"/>
          </w:rPr>
          <w:t>[2]</w:t>
        </w:r>
      </w:hyperlink>
      <w:r>
        <w:t xml:space="preserve">, </w:t>
      </w:r>
      <w:hyperlink r:id="rId13">
        <w:r>
          <w:rPr>
            <w:color w:val="0000EE"/>
            <w:u w:val="single"/>
          </w:rPr>
          <w:t>[3]</w:t>
        </w:r>
      </w:hyperlink>
      <w:r>
        <w:t xml:space="preserve">- Paragraph 5: </w:t>
      </w:r>
      <w:hyperlink r:id="rId10">
        <w:r>
          <w:rPr>
            <w:color w:val="0000EE"/>
            <w:u w:val="single"/>
          </w:rPr>
          <w:t>[4]</w:t>
        </w:r>
      </w:hyperlink>
      <w:r>
        <w:t xml:space="preserve">- Paragraph 6: </w:t>
      </w:r>
      <w:hyperlink r:id="rId14">
        <w:r>
          <w:rPr>
            <w:color w:val="0000EE"/>
            <w:u w:val="single"/>
          </w:rPr>
          <w:t>[5]</w:t>
        </w:r>
      </w:hyperlink>
      <w:r>
        <w:t xml:space="preserve">, </w:t>
      </w:r>
      <w:hyperlink r:id="rId11">
        <w:r>
          <w:rPr>
            <w:color w:val="0000EE"/>
            <w:u w:val="single"/>
          </w:rPr>
          <w:t>[6]</w:t>
        </w:r>
      </w:hyperlink>
      <w:r>
        <w:t xml:space="preserve">- Paragraph 7: </w:t>
      </w:r>
      <w:hyperlink r:id="rId9">
        <w:r>
          <w:rPr>
            <w:color w:val="0000EE"/>
            <w:u w:val="single"/>
          </w:rPr>
          <w:t>[2]</w:t>
        </w:r>
      </w:hyperlink>
      <w:r>
        <w:t xml:space="preserve">, </w:t>
      </w:r>
      <w:hyperlink r:id="rId12">
        <w:r>
          <w:rPr>
            <w:color w:val="0000EE"/>
            <w:u w:val="single"/>
          </w:rPr>
          <w:t>[7]</w:t>
        </w:r>
      </w:hyperlink>
      <w:r>
        <w:t xml:space="preserve">- Paragraph 8: </w:t>
      </w:r>
      <w:hyperlink r:id="rId9">
        <w:r>
          <w:rPr>
            <w:color w:val="0000EE"/>
            <w:u w:val="single"/>
          </w:rPr>
          <w:t>[2]</w:t>
        </w:r>
      </w:hyperlink>
      <w:r>
        <w:t xml:space="preserve">, </w:t>
      </w:r>
      <w:hyperlink r:id="rId12">
        <w:r>
          <w:rPr>
            <w:color w:val="0000EE"/>
            <w:u w:val="single"/>
          </w:rPr>
          <w:t>[7]</w:t>
        </w:r>
      </w:hyperlink>
      <w:r>
        <w:t xml:space="preserve">- Paragraph 9: </w:t>
      </w:r>
      <w:hyperlink r:id="rId9">
        <w:r>
          <w:rPr>
            <w:color w:val="0000EE"/>
            <w:u w:val="single"/>
          </w:rPr>
          <w:t>[2]</w:t>
        </w:r>
      </w:hyperlink>
      <w:r>
        <w:t xml:space="preserve">- Paragraph 10: </w:t>
      </w:r>
      <w:hyperlink r:id="rId9">
        <w:r>
          <w:rPr>
            <w:color w:val="0000EE"/>
            <w:u w:val="single"/>
          </w:rPr>
          <w:t>[2]</w:t>
        </w:r>
      </w:hyperlink>
      <w:r>
        <w:t xml:space="preserve">- Paragraph 11: </w:t>
      </w:r>
      <w:hyperlink r:id="rId9">
        <w:r>
          <w:rPr>
            <w:color w:val="0000EE"/>
            <w:u w:val="single"/>
          </w:rPr>
          <w:t>[2]</w:t>
        </w:r>
      </w:hyperlink>
      <w:r>
        <w:t xml:space="preserve">, </w:t>
      </w:r>
      <w:hyperlink r:id="rId10">
        <w:r>
          <w:rPr>
            <w:color w:val="0000EE"/>
            <w:u w:val="single"/>
          </w:rPr>
          <w:t>[4]</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https://www.hks.harvard.edu/events/still-serving-lgbtqi-service-members-through-decades-policy-change</w:t>
        </w:r>
      </w:hyperlink>
      <w:r>
        <w:t xml:space="preserve"> - Please view link - unable to able to access data</w:t>
      </w:r>
      <w:r/>
    </w:p>
    <w:p>
      <w:pPr>
        <w:pStyle w:val="ListNumber"/>
        <w:spacing w:line="240" w:lineRule="auto"/>
        <w:ind w:left="720"/>
      </w:pPr>
      <w:r/>
      <w:hyperlink r:id="rId9">
        <w:r>
          <w:rPr>
            <w:color w:val="0000EE"/>
            <w:u w:val="single"/>
          </w:rPr>
          <w:t>https://www.hks.harvard.edu/events/still-serving-lgbtqi-service-members-through-decades-policy-change</w:t>
        </w:r>
      </w:hyperlink>
      <w:r>
        <w:t xml:space="preserve"> - The Harvard Kennedy School event description frames LGBTQI+ military service as a history of changing policies, from earlier prohibitions and ‘Don’t Ask, Don’t Tell’ to its repeal and successive changes concerning transgender service. It says the session will consider the effects of these policies on service members, military organisations and operations, as well as advocacy past and present. Julia Minson is named as moderator; Tim McCarthy and current and former service members are listed as participants. The event is described as private and off the record, while open to all. The page also provides the event’s date, location and organisers.</w:t>
      </w:r>
      <w:r/>
    </w:p>
    <w:p>
      <w:pPr>
        <w:pStyle w:val="ListNumber"/>
        <w:spacing w:line="240" w:lineRule="auto"/>
        <w:ind w:left="720"/>
      </w:pPr>
      <w:r/>
      <w:hyperlink r:id="rId13">
        <w:r>
          <w:rPr>
            <w:color w:val="0000EE"/>
            <w:u w:val="single"/>
          </w:rPr>
          <w:t>https://www.congress.gov/111/bills/hr2965/BILLS-111hr2965enr.pdf</w:t>
        </w:r>
      </w:hyperlink>
      <w:r>
        <w:t xml:space="preserve"> - This enacted federal bill is the Don’t Ask, Don’t Tell Repeal Act of 2010. It lays out a process for ending the relevant statutory policy, including a Department of Defence review and presidential, defence secretary and Joint Chiefs certification concerning readiness, effectiveness, unit cohesion, recruitment and retention. The measure specified that repeal would take effect only after its required conditions were met. It therefore supports the article’s reference to the repeal of Don’t Ask, Don’t Tell, while clarifying that the legislation was passed in 2010 and that implementation followed a defined process rather than happening immediately upon enactment.</w:t>
      </w:r>
      <w:r/>
    </w:p>
    <w:p>
      <w:pPr>
        <w:pStyle w:val="ListNumber"/>
        <w:spacing w:line="240" w:lineRule="auto"/>
        <w:ind w:left="720"/>
      </w:pPr>
      <w:r/>
      <w:hyperlink r:id="rId10">
        <w:r>
          <w:rPr>
            <w:color w:val="0000EE"/>
            <w:u w:val="single"/>
          </w:rPr>
          <w:t>https://www.defense.gov/News/Releases/Release/Article/821675/secretary-of-defense-ash-carter-announces-policy-for-transgender-service-members/</w:t>
        </w:r>
      </w:hyperlink>
      <w:r>
        <w:t xml:space="preserve"> - In this 30 June 2016 announcement, Defence Secretary Ash Carter said transgender people could serve openly in the United States armed forces. The policy established a framework for serving members to transition while in service, addressed medical care, and assigned the military services and commanders responsibilities for further guidance and training. The announcement also described a phased implementation and immediate protections against involuntary separation or denial of reenlistment solely because of gender identity. The release is a primary source for one major change in transgender-service policy and helps substantiate the article’s account of repeated revisions over time.</w:t>
      </w:r>
      <w:r/>
    </w:p>
    <w:p>
      <w:pPr>
        <w:pStyle w:val="ListNumber"/>
        <w:spacing w:line="240" w:lineRule="auto"/>
        <w:ind w:left="720"/>
      </w:pPr>
      <w:r/>
      <w:hyperlink r:id="rId14">
        <w:r>
          <w:rPr>
            <w:color w:val="0000EE"/>
            <w:u w:val="single"/>
          </w:rPr>
          <w:t>https://www.defense.gov/News/News-Stories/Article/Article/1813248/dod-official-updated-transgender-policy-based-on-treating-all-with-dignity/</w:t>
        </w:r>
      </w:hyperlink>
      <w:r>
        <w:t xml:space="preserve"> - This Defence Department news report explains the administration’s revised transgender-service policy as it took effect in 2019. It describes restrictions affecting accessions and the conditions under which some serving members could continue, including standards associated with their biological sex and deployability. The report records the Department’s explanation of how the policy would be applied, providing evidence of another shift after the 2016 move towards open service. As a government account of the policy’s implementation, it supports the article’s description of several revisions, while also showing how rules could differ for applicants and people already serving.</w:t>
      </w:r>
      <w:r/>
    </w:p>
    <w:p>
      <w:pPr>
        <w:pStyle w:val="ListNumber"/>
        <w:spacing w:line="240" w:lineRule="auto"/>
        <w:ind w:left="720"/>
      </w:pPr>
      <w:r/>
      <w:hyperlink r:id="rId11">
        <w:r>
          <w:rPr>
            <w:color w:val="0000EE"/>
            <w:u w:val="single"/>
          </w:rPr>
          <w:t>https://www.defense.gov/News/Releases/Release/Article/2557220/dod-announces-policy-updates-for-transgender-military-service/</w:t>
        </w:r>
      </w:hyperlink>
      <w:r>
        <w:t xml:space="preserve"> - The Department of Defence announced on 31 March 2021 that updated policies would restore the central approach of its 2016 transgender-service rules. The release says the policies prohibit discrimination based on gender identity, provide a route for people to enter service in their self-identified gender if they meet applicable standards, and allow serving members access to transition-related care and recognition in their self-identified gender. It also notes that the changes would become effective on 30 April 2021. This official account demonstrates another reversal in policy and supports the article’s point that transgender military service rules have changed repeatedly.</w:t>
      </w:r>
      <w:r/>
    </w:p>
    <w:p>
      <w:pPr>
        <w:pStyle w:val="ListNumber"/>
        <w:spacing w:line="240" w:lineRule="auto"/>
        <w:ind w:left="720"/>
      </w:pPr>
      <w:r/>
      <w:hyperlink r:id="rId12">
        <w:r>
          <w:rPr>
            <w:color w:val="0000EE"/>
            <w:u w:val="single"/>
          </w:rPr>
          <w:t>https://www.rand.org/content/dam/rand/pubs/research_reports/RR1500/RR1530/RAND_RR1530.pdf</w:t>
        </w:r>
      </w:hyperlink>
      <w:r>
        <w:t xml:space="preserve"> - RAND’s research report assesses the possible effects of allowing transgender personnel to serve openly in the United States military. It examines healthcare needs, expected use and costs of transition-related treatment, potential readiness implications, and experiences of foreign militaries. The report describes how the Department of Defence commissioned the work amid consideration of policy change and discusses the questions facing military leaders. It also estimates potential effects using available evidence, while warning that some population estimates relied on limited or non-representative data. The report supports the event description’s focus on how policy affects individuals, military organisations, operational readiness and military operations.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ks.harvard.edu/events/still-serving-lgbtqi-service-members-through-decades-policy-change" TargetMode="External"/><Relationship Id="rId10" Type="http://schemas.openxmlformats.org/officeDocument/2006/relationships/hyperlink" Target="https://www.defense.gov/News/Releases/Release/Article/821675/secretary-of-defense-ash-carter-announces-policy-for-transgender-service-members/" TargetMode="External"/><Relationship Id="rId11" Type="http://schemas.openxmlformats.org/officeDocument/2006/relationships/hyperlink" Target="https://www.defense.gov/News/Releases/Release/Article/2557220/dod-announces-policy-updates-for-transgender-military-service/" TargetMode="External"/><Relationship Id="rId12" Type="http://schemas.openxmlformats.org/officeDocument/2006/relationships/hyperlink" Target="https://www.rand.org/content/dam/rand/pubs/research_reports/RR1500/RR1530/RAND_RR1530.pdf" TargetMode="External"/><Relationship Id="rId13" Type="http://schemas.openxmlformats.org/officeDocument/2006/relationships/hyperlink" Target="https://www.congress.gov/111/bills/hr2965/BILLS-111hr2965enr.pdf" TargetMode="External"/><Relationship Id="rId14" Type="http://schemas.openxmlformats.org/officeDocument/2006/relationships/hyperlink" Target="https://www.defense.gov/News/News-Stories/Article/Article/1813248/dod-official-updated-transgender-policy-based-on-treating-all-with-dign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