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Behind the Mask: The Lost African LGBTI News Archive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Behind the Mask gave readers a rare English-language window onto LGBTI life across Africa, reporting from Johannesburg from 2000 until its online trail appears to end in 2012. Its quiet disappearance raises a bigger question than why one website closed: what happens to a community’s history when the archive is left behind?</w:t>
      </w:r>
      <w:r/>
    </w:p>
    <w:p>
      <w:pPr>
        <w:pStyle w:val="Heading2"/>
      </w:pPr>
      <w:r>
        <w:t>A rare voice went quiet</w:t>
      </w:r>
      <w:r/>
    </w:p>
    <w:p>
      <w:r/>
      <w:r>
        <w:t>For readers looking for English-language reporting on LGBTI issues across Africa, Behind the Mask offered something difficult to find elsewhere: a dedicated news resource with a continental focus. Started in Johannesburg in 2000 by Dutch journalist Bart Luirink, it ran for roughly twelve years, though there was no public farewell to mark its apparent end. (</w:t>
      </w:r>
      <w:hyperlink r:id="rId9">
        <w:r>
          <w:rPr>
            <w:color w:val="0000EE"/>
            <w:u w:val="single"/>
          </w:rPr>
          <w:t>[2]</w:t>
        </w:r>
      </w:hyperlink>
      <w:r>
        <w:t xml:space="preserve">, </w:t>
      </w:r>
      <w:hyperlink r:id="rId10">
        <w:r>
          <w:rPr>
            <w:color w:val="0000EE"/>
            <w:u w:val="single"/>
          </w:rPr>
          <w:t>[4]</w:t>
        </w:r>
      </w:hyperlink>
      <w:r>
        <w:t>)</w:t>
      </w:r>
      <w:r/>
    </w:p>
    <w:p>
      <w:r/>
      <w:r>
        <w:t>Its timing mattered. South Africa’s 1996 Constitution prohibited discrimination on the grounds of sexual orientation, a landmark legal protection that sat alongside very different realities across the wider region. Behind the Mask reported on that broader landscape, making its coverage valuable not only as news, but as a record of a complicated period. (</w:t>
      </w:r>
      <w:hyperlink r:id="rId11">
        <w:r>
          <w:rPr>
            <w:color w:val="0000EE"/>
            <w:u w:val="single"/>
          </w:rPr>
          <w:t>[6]</w:t>
        </w:r>
      </w:hyperlink>
      <w:r>
        <w:t xml:space="preserve">, </w:t>
      </w:r>
      <w:hyperlink r:id="rId12">
        <w:r>
          <w:rPr>
            <w:color w:val="0000EE"/>
            <w:u w:val="single"/>
          </w:rPr>
          <w:t>[7]</w:t>
        </w:r>
      </w:hyperlink>
      <w:r>
        <w:t>)</w:t>
      </w:r>
      <w:r/>
    </w:p>
    <w:p>
      <w:pPr>
        <w:pStyle w:val="Heading2"/>
      </w:pPr>
      <w:r>
        <w:t>How the website built its beat</w:t>
      </w:r>
      <w:r/>
    </w:p>
    <w:p>
      <w:r/>
      <w:r>
        <w:t>A 2008 MediaShift assessment described Behind the Mask as Africa’s first dedicated news resource for LGBTI issues. It also noted that much of the site’s coverage drew on reports from other outlets, with relatively little original commentary. That detail gives a useful sense of the project’s role: it gathered and made visible news that was otherwise scattered. (</w:t>
      </w:r>
      <w:hyperlink r:id="rId9">
        <w:r>
          <w:rPr>
            <w:color w:val="0000EE"/>
            <w:u w:val="single"/>
          </w:rPr>
          <w:t>[2]</w:t>
        </w:r>
      </w:hyperlink>
      <w:r>
        <w:t>)</w:t>
      </w:r>
      <w:r/>
    </w:p>
    <w:p>
      <w:r/>
      <w:r>
        <w:t>A guide published by the Gay and Lesbian Archives of South Africa later described Behind the Mask as an important resource on LGBTI history. The site’s value, then, wasn’t simply whether every article was original; it was that readers could find a sustained stream of relevant reporting in one place. (</w:t>
      </w:r>
      <w:hyperlink r:id="rId13">
        <w:r>
          <w:rPr>
            <w:color w:val="0000EE"/>
            <w:u w:val="single"/>
          </w:rPr>
          <w:t>[5]</w:t>
        </w:r>
      </w:hyperlink>
      <w:r>
        <w:t>)</w:t>
      </w:r>
      <w:r/>
    </w:p>
    <w:p>
      <w:pPr>
        <w:pStyle w:val="Heading2"/>
      </w:pPr>
      <w:r>
        <w:t>Funding kept the newsroom going</w:t>
      </w:r>
      <w:r/>
    </w:p>
    <w:p>
      <w:r/>
      <w:r>
        <w:t>The clearest public funding record is an Atlantic Philanthropies grant of $104,640 in 2003, awarded as core support for a gay and lesbian web magazine. Atlantic Philanthropies also recorded bridging support for the project in 2008, aimed at financial stability. (</w:t>
      </w:r>
      <w:hyperlink r:id="rId14">
        <w:r>
          <w:rPr>
            <w:color w:val="0000EE"/>
            <w:u w:val="single"/>
          </w:rPr>
          <w:t>[3]</w:t>
        </w:r>
      </w:hyperlink>
      <w:r>
        <w:t>)</w:t>
      </w:r>
      <w:r/>
    </w:p>
    <w:p>
      <w:r/>
      <w:r>
        <w:t>That support helps explain how the publication could keep going, but it also points to a familiar challenge for specialist journalism: a vital audience doesn’t automatically translate into a dependable income. The available grant records show philanthropic backing, not a self-sustaining business model. (</w:t>
      </w:r>
      <w:hyperlink r:id="rId14">
        <w:r>
          <w:rPr>
            <w:color w:val="0000EE"/>
            <w:u w:val="single"/>
          </w:rPr>
          <w:t>[3]</w:t>
        </w:r>
      </w:hyperlink>
      <w:r>
        <w:t>)</w:t>
      </w:r>
      <w:r/>
    </w:p>
    <w:p>
      <w:pPr>
        <w:pStyle w:val="Heading2"/>
      </w:pPr>
      <w:r>
        <w:t>The archive tells a troubling story</w:t>
      </w:r>
      <w:r/>
    </w:p>
    <w:p>
      <w:r/>
      <w:r>
        <w:t>There’s no clear shutdown notice in the surviving record. Instead, archived captures show the homepage continuing into 2012 before the trail goes cold; later versions of the domain appear to have been repurposed. It’s a stark reminder that a website can disappear without the neat ending readers expect. (</w:t>
      </w:r>
      <w:hyperlink r:id="rId10">
        <w:r>
          <w:rPr>
            <w:color w:val="0000EE"/>
            <w:u w:val="single"/>
          </w:rPr>
          <w:t>[4]</w:t>
        </w:r>
      </w:hyperlink>
      <w:r>
        <w:t>)</w:t>
      </w:r>
      <w:r/>
    </w:p>
    <w:p>
      <w:r/>
      <w:r>
        <w:t>The preservation question matters because the site is cited in later writing about LGBTI organising and history. The Gay and Lesbian Archives of South Africa guide points to the University of Texas at Austin’s Human Rights Documentation Initiative as an archival home for the material. That gives the record a potential safety net, though the completeness of any online archive can’t be assumed. (</w:t>
      </w:r>
      <w:hyperlink r:id="rId10">
        <w:r>
          <w:rPr>
            <w:color w:val="0000EE"/>
            <w:u w:val="single"/>
          </w:rPr>
          <w:t>[4]</w:t>
        </w:r>
      </w:hyperlink>
      <w:r>
        <w:t xml:space="preserve">, </w:t>
      </w:r>
      <w:hyperlink r:id="rId13">
        <w:r>
          <w:rPr>
            <w:color w:val="0000EE"/>
            <w:u w:val="single"/>
          </w:rPr>
          <w:t>[5]</w:t>
        </w:r>
      </w:hyperlink>
      <w:r>
        <w:t>)</w:t>
      </w:r>
      <w:r/>
    </w:p>
    <w:p>
      <w:pPr>
        <w:pStyle w:val="Heading2"/>
      </w:pPr>
      <w:r>
        <w:t>Why preserving community journalism matters</w:t>
      </w:r>
      <w:r/>
    </w:p>
    <w:p>
      <w:r/>
      <w:r>
        <w:t>South Africa’s constitutional protections made the country an important reference point in discussions of LGBTI rights, but they didn’t erase the different conditions facing people elsewhere on the continent. A publication focused on that wider picture helped connect stories that might otherwise have remained isolated. (</w:t>
      </w:r>
      <w:hyperlink r:id="rId11">
        <w:r>
          <w:rPr>
            <w:color w:val="0000EE"/>
            <w:u w:val="single"/>
          </w:rPr>
          <w:t>[6]</w:t>
        </w:r>
      </w:hyperlink>
      <w:r>
        <w:t xml:space="preserve">, </w:t>
      </w:r>
      <w:hyperlink r:id="rId12">
        <w:r>
          <w:rPr>
            <w:color w:val="0000EE"/>
            <w:u w:val="single"/>
          </w:rPr>
          <w:t>[7]</w:t>
        </w:r>
      </w:hyperlink>
      <w:r>
        <w:t>)</w:t>
      </w:r>
      <w:r/>
    </w:p>
    <w:p>
      <w:r/>
      <w:r>
        <w:t>And that’s why the missing closing paragraph feels significant. Behind the Mask’s apparent end wasn’t just the loss of a website; it was the risk of losing a useful historical record, one that later researchers and readers may need to understand how communities organised and how coverage changed. (</w:t>
      </w:r>
      <w:hyperlink r:id="rId9">
        <w:r>
          <w:rPr>
            <w:color w:val="0000EE"/>
            <w:u w:val="single"/>
          </w:rPr>
          <w:t>[2]</w:t>
        </w:r>
      </w:hyperlink>
      <w:r>
        <w:t xml:space="preserve">, </w:t>
      </w:r>
      <w:hyperlink r:id="rId13">
        <w:r>
          <w:rPr>
            <w:color w:val="0000EE"/>
            <w:u w:val="single"/>
          </w:rPr>
          <w:t>[5]</w:t>
        </w:r>
      </w:hyperlink>
      <w:r>
        <w:t>)</w:t>
      </w:r>
      <w:r/>
    </w:p>
    <w:p>
      <w:r/>
      <w:r>
        <w:rPr>
          <w:b/>
        </w:rPr>
        <w:t>A digital archive can be fragile; preserving it is part of preserving the history it carries.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Paragraph 4: </w:t>
      </w:r>
      <w:hyperlink r:id="rId13">
        <w:r>
          <w:rPr>
            <w:color w:val="0000EE"/>
            <w:u w:val="single"/>
          </w:rPr>
          <w:t>[5]</w:t>
        </w:r>
      </w:hyperlink>
      <w:r>
        <w:t xml:space="preserve">- Paragraph 5: </w:t>
      </w:r>
      <w:hyperlink r:id="rId14">
        <w:r>
          <w:rPr>
            <w:color w:val="0000EE"/>
            <w:u w:val="single"/>
          </w:rPr>
          <w:t>[3]</w:t>
        </w:r>
      </w:hyperlink>
      <w:r>
        <w:t xml:space="preserve">- Paragraph 6: </w:t>
      </w:r>
      <w:hyperlink r:id="rId14">
        <w:r>
          <w:rPr>
            <w:color w:val="0000EE"/>
            <w:u w:val="single"/>
          </w:rPr>
          <w:t>[3]</w:t>
        </w:r>
      </w:hyperlink>
      <w:r>
        <w:t xml:space="preserve">- Paragraph 7: </w:t>
      </w:r>
      <w:hyperlink r:id="rId10">
        <w:r>
          <w:rPr>
            <w:color w:val="0000EE"/>
            <w:u w:val="single"/>
          </w:rPr>
          <w:t>[4]</w:t>
        </w:r>
      </w:hyperlink>
      <w:r>
        <w:t xml:space="preserve">- Paragraph 8: </w:t>
      </w:r>
      <w:hyperlink r:id="rId10">
        <w:r>
          <w:rPr>
            <w:color w:val="0000EE"/>
            <w:u w:val="single"/>
          </w:rPr>
          <w:t>[4]</w:t>
        </w:r>
      </w:hyperlink>
      <w:r>
        <w:t xml:space="preserve">, </w:t>
      </w:r>
      <w:hyperlink r:id="rId13">
        <w:r>
          <w:rPr>
            <w:color w:val="0000EE"/>
            <w:u w:val="single"/>
          </w:rPr>
          <w:t>[5]</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https://rip.so/behind-the-mask.html</w:t>
        </w:r>
      </w:hyperlink>
      <w:r>
        <w:t xml:space="preserve"> - Please view link - unable to able to access data</w:t>
      </w:r>
      <w:r/>
    </w:p>
    <w:p>
      <w:pPr>
        <w:pStyle w:val="ListNumber"/>
        <w:spacing w:line="240" w:lineRule="auto"/>
        <w:ind w:left="720"/>
      </w:pPr>
      <w:r/>
      <w:hyperlink r:id="rId9">
        <w:r>
          <w:rPr>
            <w:color w:val="0000EE"/>
            <w:u w:val="single"/>
          </w:rPr>
          <w:t>https://mediashift.org/2008/08/african-lgbti-communities-come-out-of-the-closet-online220/</w:t>
        </w:r>
      </w:hyperlink>
      <w:r>
        <w:t xml:space="preserve"> - Sokari Ekine’s 7 August 2008 article describes the growth of African LGBTI online communities and the role of Behind the Mask. It identifies the website as Africa’s first dedicated news resource for LGBTI issues, noting its continental focus and timely reporting. Ekine also observes that many reports were gathered from other news outlets, with limited original commentary, and suggests that local activists could be recruited as reporters. The article places Behind the Mask within a wider online environment of news, advocacy, email groups and campaign sites, explaining how digital communication helped activists share information and organise across national borders.</w:t>
      </w:r>
      <w:r/>
    </w:p>
    <w:p>
      <w:pPr>
        <w:pStyle w:val="ListNumber"/>
        <w:spacing w:line="240" w:lineRule="auto"/>
        <w:ind w:left="720"/>
      </w:pPr>
      <w:r/>
      <w:hyperlink r:id="rId14">
        <w:r>
          <w:rPr>
            <w:color w:val="0000EE"/>
            <w:u w:val="single"/>
          </w:rPr>
          <w:t>https://www.atlanticphilanthropies.org/grants/core-support-464</w:t>
        </w:r>
      </w:hyperlink>
      <w:r>
        <w:t xml:space="preserve"> - This Atlantic Philanthropies grant record documents a 2003 award to Behind the Mask. It lists a grant of $104,640, equivalent to R800,000 in local currency, for a twelve-month term. The stated purpose was to provide core funding to the gay and lesbian web-magazine. The record classifies the grant under LGBT issues and identifies South Africa as its area of impact. It is a direct source for the article’s specific figure, timing, funding purpose and grant duration, though it does not by itself establish the organisation’s complete financial model or whether other revenue sources existed.</w:t>
      </w:r>
      <w:r/>
    </w:p>
    <w:p>
      <w:pPr>
        <w:pStyle w:val="ListNumber"/>
        <w:spacing w:line="240" w:lineRule="auto"/>
        <w:ind w:left="720"/>
      </w:pPr>
      <w:r/>
      <w:hyperlink r:id="rId10">
        <w:r>
          <w:rPr>
            <w:color w:val="0000EE"/>
            <w:u w:val="single"/>
          </w:rPr>
          <w:t>https://www.bartluirink.nl/wp-content/uploads/2010/04/UR_Behind_the_Mask_Bart_Luirink.pdf</w:t>
        </w:r>
      </w:hyperlink>
      <w:r>
        <w:t xml:space="preserve"> - Bart Luirink’s account describes Behind the Mask as a Johannesburg-based website operating since spring 2000 and providing information about developments concerning homosexuality in Africa. It says the site attracted tens of thousands of monthly visitors and built a network of African partners and informants. The piece also places the organisation in the context of South African history and describes its work as an online publication and activist resource. As an account by the site’s initiator, it supports the founding period, location and broad purpose, while offering organisational context beyond the article’s brief chronology.</w:t>
      </w:r>
      <w:r/>
    </w:p>
    <w:p>
      <w:pPr>
        <w:pStyle w:val="ListNumber"/>
        <w:spacing w:line="240" w:lineRule="auto"/>
        <w:ind w:left="720"/>
      </w:pPr>
      <w:r/>
      <w:hyperlink r:id="rId13">
        <w:r>
          <w:rPr>
            <w:color w:val="0000EE"/>
            <w:u w:val="single"/>
          </w:rPr>
          <w:t>https://www.gala.co.za/resources/docs/Free_Downloads/Guide_Jul17.pdf</w:t>
        </w:r>
      </w:hyperlink>
      <w:r>
        <w:t xml:space="preserve"> - GALA’s archival guide describes Behind the Mask as an online magazine for African lesbian, gay, bisexual, transgender and intersex communities. It says the publication offered a platform for exchange and debate, provided information about LGBTI rights and law, launched in 2000 and ran until 2012. The guide also records that the organisation undertook projects and campaigns and that its papers span 2000–2014, with organisational material donated to GALA after closure. This archival description is useful evidence for the publication’s lifespan, mission and the existence of a preserved organisational collection.</w:t>
      </w:r>
      <w:r/>
    </w:p>
    <w:p>
      <w:pPr>
        <w:pStyle w:val="ListNumber"/>
        <w:spacing w:line="240" w:lineRule="auto"/>
        <w:ind w:left="720"/>
      </w:pPr>
      <w:r/>
      <w:hyperlink r:id="rId11">
        <w:r>
          <w:rPr>
            <w:color w:val="0000EE"/>
            <w:u w:val="single"/>
          </w:rPr>
          <w:t>https://www.gov.za/documents/constitution/chapter-2-bill-rights</w:t>
        </w:r>
      </w:hyperlink>
      <w:r>
        <w:t xml:space="preserve"> - The South African Government’s publication of Chapter 2 of the 1996 Constitution sets out the Bill of Rights, including section 9 on equality. It states that the state may not unfairly discriminate on listed grounds, explicitly including sexual orientation, and that legislation must be enacted to prevent or prohibit unfair discrimination. This is the primary legal text supporting the article’s description of constitutional protection. The page gives the actual wording rather than a historical interpretation of its world-first status, so it supports the constitutional provision itself and should be read alongside historical sources for comparative claims.</w:t>
      </w:r>
      <w:r/>
    </w:p>
    <w:p>
      <w:pPr>
        <w:pStyle w:val="ListNumber"/>
        <w:spacing w:line="240" w:lineRule="auto"/>
        <w:ind w:left="720"/>
      </w:pPr>
      <w:r/>
      <w:hyperlink r:id="rId12">
        <w:r>
          <w:rPr>
            <w:color w:val="0000EE"/>
            <w:u w:val="single"/>
          </w:rPr>
          <w:t>https://www.concourt.org.za/index.php/gay-and-lesbian-rights</w:t>
        </w:r>
      </w:hyperlink>
      <w:r>
        <w:t xml:space="preserve"> - The Constitutional Court of South Africa’s overview of gay and lesbian rights explains that the Constitution explicitly protects people from unfair discrimination on the basis of sexual orientation. It describes South Africa as the first country to enshrine gay rights in its Constitution and summarises key legal developments that followed. The page provides institutional context for the significance of the constitutional protection referenced in the article and explains how that protection relates to the country’s broader human-rights framework. It supports the account of South Africa’s distinctive legal position, while the constitutional text itself provides the exact operative wording.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ashift.org/2008/08/african-lgbti-communities-come-out-of-the-closet-online220/" TargetMode="External"/><Relationship Id="rId10" Type="http://schemas.openxmlformats.org/officeDocument/2006/relationships/hyperlink" Target="https://www.bartluirink.nl/wp-content/uploads/2010/04/UR_Behind_the_Mask_Bart_Luirink.pdf" TargetMode="External"/><Relationship Id="rId11" Type="http://schemas.openxmlformats.org/officeDocument/2006/relationships/hyperlink" Target="https://www.gov.za/documents/constitution/chapter-2-bill-rights" TargetMode="External"/><Relationship Id="rId12" Type="http://schemas.openxmlformats.org/officeDocument/2006/relationships/hyperlink" Target="https://www.concourt.org.za/index.php/gay-and-lesbian-rights" TargetMode="External"/><Relationship Id="rId13" Type="http://schemas.openxmlformats.org/officeDocument/2006/relationships/hyperlink" Target="https://www.gala.co.za/resources/docs/Free_Downloads/Guide_Jul17.pdf" TargetMode="External"/><Relationship Id="rId14" Type="http://schemas.openxmlformats.org/officeDocument/2006/relationships/hyperlink" Target="https://www.atlanticphilanthropies.org/grants/core-support-464" TargetMode="External"/><Relationship Id="rId15" Type="http://schemas.openxmlformats.org/officeDocument/2006/relationships/hyperlink" Target="https://rip.so/behind-the-mask.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