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Teachers Matter for Queer Students in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who can be open about being LGBTQ can offer students something textbooks can’t: a trusted adult and a reassuring example of everyday queer life. But amid political pressure and restrictive school policies, some educators are hiding parts of themselves or leaving the classroom altogether, with consequences for students and already-stretched schools.</w:t>
      </w:r>
      <w:r/>
    </w:p>
    <w:p>
      <w:pPr>
        <w:pStyle w:val="Heading2"/>
      </w:pPr>
      <w:r>
        <w:t>When teachers feel unsafe, students lose too</w:t>
      </w:r>
      <w:r/>
    </w:p>
    <w:p>
      <w:r/>
      <w:r>
        <w:t>One former Ohio English teacher says she left the classroom after threats and public scrutiny made teaching as an openly gay woman feel unsafe. She had removed photos of her wife, cut a book by gay playwright Oscar Wilde from her lessons and scaled back what students could see of her life. The quiet loss is hard to miss: a teacher’s personal safety had become tangled up with what she felt able to teach.</w:t>
      </w:r>
      <w:r/>
    </w:p>
    <w:p>
      <w:r/>
      <w:r>
        <w:t xml:space="preserve">Her experience reflects a wider concern for LGBTQ students, who may seek out a teacher they trust. Research from the Trevor Project has found an association between having caring teachers and better mental health among LGBTQ young people. That doesn’t make educators a substitute for specialist support, but it helps explain why representation and a reliable adult at school can matter. </w:t>
      </w:r>
      <w:hyperlink r:id="rId9">
        <w:r>
          <w:rPr>
            <w:color w:val="0000EE"/>
            <w:u w:val="single"/>
          </w:rPr>
          <w:t>[2]</w:t>
        </w:r>
      </w:hyperlink>
      <w:r>
        <w:rPr>
          <w:b/>
        </w:rPr>
        <w:t xml:space="preserve">, </w:t>
      </w:r>
      <w:hyperlink r:id="rId10">
        <w:r>
          <w:rPr>
            <w:color w:val="0000EE"/>
            <w:u w:val="single"/>
          </w:rPr>
          <w:t>[3]</w:t>
        </w:r>
      </w:hyperlink>
      <w:r/>
    </w:p>
    <w:p>
      <w:pPr>
        <w:pStyle w:val="Heading2"/>
      </w:pPr>
      <w:r>
        <w:t>School policies can reshape classroom conversations</w:t>
      </w:r>
      <w:r/>
    </w:p>
    <w:p>
      <w:r/>
      <w:r>
        <w:t>The pressure isn’t limited to individual complaints. In January 2025, a White House executive order called for ending what it described as “radical indoctrination” in K-12 schools, including claims about schools discussing gender identity. Such rhetoric can add to educators’ anxiety about how lessons, classroom books or everyday conversations might be interpreted.</w:t>
      </w:r>
      <w:r/>
    </w:p>
    <w:p>
      <w:r/>
      <w:r>
        <w:t xml:space="preserve">State rules can also affect what teachers feel able to say. Ohio law sets out parental-notification requirements in certain circumstances involving a student’s request to identify as a gender different from their sex, while Florida’s 2022 law restricted classroom instruction on sexual orientation and gender identity in specified grades. The details differ, but the practical result can be a more cautious classroom, especially when teachers are unsure how a rule applies. </w:t>
      </w:r>
      <w:hyperlink r:id="rId11">
        <w:r>
          <w:rPr>
            <w:color w:val="0000EE"/>
            <w:u w:val="single"/>
          </w:rPr>
          <w:t>[4]</w:t>
        </w:r>
      </w:hyperlink>
      <w:r>
        <w:rPr>
          <w:b/>
        </w:rPr>
        <w:t xml:space="preserve">, </w:t>
      </w:r>
      <w:hyperlink r:id="rId12">
        <w:r>
          <w:rPr>
            <w:color w:val="0000EE"/>
            <w:u w:val="single"/>
          </w:rPr>
          <w:t>[6]</w:t>
        </w:r>
      </w:hyperlink>
      <w:r>
        <w:rPr>
          <w:b/>
        </w:rPr>
        <w:t xml:space="preserve">, </w:t>
      </w:r>
      <w:hyperlink r:id="rId13">
        <w:r>
          <w:rPr>
            <w:color w:val="0000EE"/>
            <w:u w:val="single"/>
          </w:rPr>
          <w:t>[7]</w:t>
        </w:r>
      </w:hyperlink>
      <w:r/>
    </w:p>
    <w:p>
      <w:pPr>
        <w:pStyle w:val="Heading2"/>
      </w:pPr>
      <w:r>
        <w:t>Why queer teachers can make a difference</w:t>
      </w:r>
      <w:r/>
    </w:p>
    <w:p>
      <w:r/>
      <w:r>
        <w:t>A teacher doesn’t need to make their identity the subject of a lesson to have an impact. Simply being a known, ordinary adult in students’ lives can challenge stereotypes and help queer pupils imagine a future in which they’re accepted. For classmates with little personal contact with LGBTQ people, that everyday familiarity can also make a difference.</w:t>
      </w:r>
      <w:r/>
    </w:p>
    <w:p>
      <w:r/>
      <w:r>
        <w:t xml:space="preserve">The Trevor Project’s research brief links caring teachers with the wellbeing of LGBTQ students, underlining the value of supportive school relationships. It’s a reminder that representation isn’t a classroom gimmick; it can be part of the human connection that helps a young person feel less alone. </w:t>
      </w:r>
      <w:hyperlink r:id="rId10">
        <w:r>
          <w:rPr>
            <w:color w:val="0000EE"/>
            <w:u w:val="single"/>
          </w:rPr>
          <w:t>[3]</w:t>
        </w:r>
      </w:hyperlink>
      <w:r/>
    </w:p>
    <w:p>
      <w:pPr>
        <w:pStyle w:val="Heading2"/>
      </w:pPr>
      <w:r>
        <w:t>Teacher shortages make every departure count</w:t>
      </w:r>
      <w:r/>
    </w:p>
    <w:p>
      <w:r/>
      <w:r>
        <w:t>There’s another reason to pay attention: schools already face staffing gaps. The Learning Policy Institute reported that in 2025, one in eight teaching positions nationally was either unfilled or filled by someone who wasn’t certified for the role. When experienced educators leave, pupils lose subject knowledge and continuity, while remaining staff may have to shoulder more work.</w:t>
      </w:r>
      <w:r/>
    </w:p>
    <w:p>
      <w:r/>
      <w:r>
        <w:t xml:space="preserve">Keeping teachers in the profession means more than filling vacancies. Schools also need environments where staff can teach without fearing that their identity alone will make them a target. That’s a practical workforce issue as much as a question of inclusion. </w:t>
      </w:r>
      <w:hyperlink r:id="rId14">
        <w:r>
          <w:rPr>
            <w:color w:val="0000EE"/>
            <w:u w:val="single"/>
          </w:rPr>
          <w:t>[5]</w:t>
        </w:r>
      </w:hyperlink>
      <w:r/>
    </w:p>
    <w:p>
      <w:pPr>
        <w:pStyle w:val="Heading2"/>
      </w:pPr>
      <w:r>
        <w:t>What supportive schools can do</w:t>
      </w:r>
      <w:r/>
    </w:p>
    <w:p>
      <w:r/>
      <w:r>
        <w:t>Families and educators can start by learning what local policies actually require, rather than relying on social media summaries or rumours. School leaders can explain reporting rules clearly, make support pathways visible and ensure students know which trusted adults are available to talk. Where a student needs urgent or specialist help, staff should follow the school’s safeguarding procedures and seek appropriate professional support.</w:t>
      </w:r>
      <w:r/>
    </w:p>
    <w:p>
      <w:r/>
      <w:r>
        <w:t xml:space="preserve">For parents, a useful question at a school meeting is how the school supports LGBTQ students while following state law. A calm, specific conversation can reveal more than a slogan on a poster. And for educators, clear guidance from administrators can reduce the uncertainty that turns ordinary student interactions into a source of fear. </w:t>
      </w:r>
      <w:hyperlink r:id="rId10">
        <w:r>
          <w:rPr>
            <w:color w:val="0000EE"/>
            <w:u w:val="single"/>
          </w:rPr>
          <w:t>[3]</w:t>
        </w:r>
      </w:hyperlink>
      <w:r>
        <w:rPr>
          <w:b/>
        </w:rPr>
        <w:t xml:space="preserve">, </w:t>
      </w:r>
      <w:hyperlink r:id="rId12">
        <w:r>
          <w:rPr>
            <w:color w:val="0000EE"/>
            <w:u w:val="single"/>
          </w:rPr>
          <w:t>[6]</w:t>
        </w:r>
      </w:hyperlink>
      <w:r>
        <w:rPr>
          <w:b/>
        </w:rPr>
        <w:t xml:space="preserve">, </w:t>
      </w:r>
      <w:hyperlink r:id="rId13">
        <w:r>
          <w:rPr>
            <w:color w:val="0000EE"/>
            <w:u w:val="single"/>
          </w:rPr>
          <w:t>[7]</w:t>
        </w:r>
      </w:hyperlink>
      <w:r/>
    </w:p>
    <w:p>
      <w:pPr>
        <w:pStyle w:val="Heading2"/>
      </w:pPr>
      <w:r>
        <w:t>The cost is measured in trust, too</w:t>
      </w:r>
      <w:r/>
    </w:p>
    <w:p>
      <w:r/>
      <w:r>
        <w:t>A school can lose more than a teacher when someone feels they have to leave. Students may lose a trusted adult, colleagues lose an experienced member of staff, and the classroom becomes a little narrower. That’s a heavy price for any community to pay.</w:t>
      </w:r>
      <w:r/>
    </w:p>
    <w:p>
      <w:r/>
      <w:r>
        <w:t xml:space="preserve">Policies and political arguments will keep changing, but students’ need for safe, supportive adults doesn’t. </w:t>
      </w:r>
      <w:hyperlink r:id="rId9">
        <w:r>
          <w:rPr>
            <w:color w:val="0000EE"/>
            <w:u w:val="single"/>
          </w:rPr>
          <w:t>[2]</w:t>
        </w:r>
      </w:hyperlink>
      <w:r>
        <w:rPr>
          <w:b/>
        </w:rPr>
        <w:t xml:space="preserve">, </w:t>
      </w:r>
      <w:hyperlink r:id="rId10">
        <w:r>
          <w:rPr>
            <w:color w:val="0000EE"/>
            <w:u w:val="single"/>
          </w:rPr>
          <w:t>[3]</w:t>
        </w:r>
      </w:hyperlink>
      <w:r>
        <w:rPr>
          <w:b/>
        </w:rPr>
        <w:t xml:space="preserve">, </w:t>
      </w:r>
      <w:hyperlink r:id="rId14">
        <w:r>
          <w:rPr>
            <w:color w:val="0000EE"/>
            <w:u w:val="single"/>
          </w:rPr>
          <w:t>[5]</w:t>
        </w:r>
      </w:hyperlink>
      <w:r/>
    </w:p>
    <w:p>
      <w:r/>
      <w:r>
        <w:t>It's worth asking whether school rules protect students while allowing good teachers to do their jobs.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Paragraph 7: </w:t>
      </w:r>
      <w:hyperlink r:id="rId14">
        <w:r>
          <w:rPr>
            <w:color w:val="0000EE"/>
            <w:u w:val="single"/>
          </w:rPr>
          <w:t>[5]</w:t>
        </w:r>
      </w:hyperlink>
      <w:r>
        <w:t xml:space="preserve">- Paragraph 8: </w:t>
      </w:r>
      <w:hyperlink r:id="rId14">
        <w:r>
          <w:rPr>
            <w:color w:val="0000EE"/>
            <w:u w:val="single"/>
          </w:rPr>
          <w:t>[5]</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https://www.lgbtqnation.com/2026/10/who-has-the-most-to-lose-if-pushes-teachers-back-into-the-closet-your-child/</w:t>
        </w:r>
      </w:hyperlink>
      <w:r>
        <w:t xml:space="preserve"> - Please view link - unable to able to access data</w:t>
      </w:r>
      <w:r/>
    </w:p>
    <w:p>
      <w:pPr>
        <w:pStyle w:val="ListNumber"/>
        <w:spacing w:line="240" w:lineRule="auto"/>
        <w:ind w:left="720"/>
      </w:pPr>
      <w:r/>
      <w:hyperlink r:id="rId9">
        <w:r>
          <w:rPr>
            <w:color w:val="0000EE"/>
            <w:u w:val="single"/>
          </w:rPr>
          <w:t>https://www.lgbtqnation.com/2026/10/who-has-the-most-to-lose-if-pushes-teachers-back-into-the-closet-your-child/</w:t>
        </w:r>
      </w:hyperlink>
      <w:r>
        <w:t xml:space="preserve"> - This article reports how political hostility and school policies are affecting LGBTQ+ teachers and students. Through interviews, it describes a former Ohio teacher who left her job after harassment, doxxing and threats, and another teacher who retired amid anxiety about being targeted. Educators interviewed say they have censored lessons, concealed their identities or moved to more accepting districts. The article argues that LGBTQ+ teachers can offer students representation, support and opportunities to build understanding across differences. It also discusses federal and state policies affecting schools, including Title IX changes, Ohio’s parental-notification requirements and Florida’s Parental Rights in Education Act, alongside national teacher shortages.</w:t>
      </w:r>
      <w:r/>
    </w:p>
    <w:p>
      <w:pPr>
        <w:pStyle w:val="ListNumber"/>
        <w:spacing w:line="240" w:lineRule="auto"/>
        <w:ind w:left="720"/>
      </w:pPr>
      <w:r/>
      <w:hyperlink r:id="rId10">
        <w:r>
          <w:rPr>
            <w:color w:val="0000EE"/>
            <w:u w:val="single"/>
          </w:rPr>
          <w:t>https://www.thetrevorproject.org/research-briefs/the-relationship-between-caring-teachers-and-the-mental-health-of-lgbtq-students/</w:t>
        </w:r>
      </w:hyperlink>
      <w:r>
        <w:t xml:space="preserve"> - The Trevor Project research brief examines links between LGBTQ+ young people’s mental health and feeling cared for by teachers or professors. Analysing data from its 2023 US National Survey, it reports that students who felt their teachers cared about them had lower odds of recent anxiety and depression, and of considering or attempting suicide. The brief also finds that learning about LGBTQ+ identities and community issues from teachers or school counsellors was associated with lower odds of depression. These findings are statistical associations, not proof that teacher support alone causes improved outcomes. The report describes its survey sample, measures and analytical methods, and notes unequal access to supportive educators.</w:t>
      </w:r>
      <w:r/>
    </w:p>
    <w:p>
      <w:pPr>
        <w:pStyle w:val="ListNumber"/>
        <w:spacing w:line="240" w:lineRule="auto"/>
        <w:ind w:left="720"/>
      </w:pPr>
      <w:r/>
      <w:hyperlink r:id="rId11">
        <w:r>
          <w:rPr>
            <w:color w:val="0000EE"/>
            <w:u w:val="single"/>
          </w:rPr>
          <w:t>https://www.whitehouse.gov/presidential-actions/2025/01/ending-radical-indoctrination-in-k-12-schooling/</w:t>
        </w:r>
      </w:hyperlink>
      <w:r>
        <w:t xml:space="preserve"> - This US presidential executive order sets out the administration’s stated approach to K–12 education under the title ‘Ending Radical Indoctrination in K-12 Schooling’. It directs federal agencies to develop an ‘Ending Indoctrination Strategy’ and describes the administration’s concerns about what it calls discriminatory or ideological practices in schools. The order also addresses gender identity and social transition of minors, and calls for the re-establishment of the President’s Advisory 1776 Commission to promote patriotic education. This is an official primary source for the policy language and directions in the order; it does not independently establish the factual claims made in its political characterisations of schools or educators.</w:t>
      </w:r>
      <w:r/>
    </w:p>
    <w:p>
      <w:pPr>
        <w:pStyle w:val="ListNumber"/>
        <w:spacing w:line="240" w:lineRule="auto"/>
        <w:ind w:left="720"/>
      </w:pPr>
      <w:r/>
      <w:hyperlink r:id="rId14">
        <w:r>
          <w:rPr>
            <w:color w:val="0000EE"/>
            <w:u w:val="single"/>
          </w:rPr>
          <w:t>https://learningpolicyinstitute.org/product/overview-teacher-shortages-2025-factsheet</w:t>
        </w:r>
      </w:hyperlink>
      <w:r>
        <w:t xml:space="preserve"> - The Learning Policy Institute’s 2025 fact sheet reviews teacher-shortage data collected from US states. It estimates that at least 411,549 teaching positions were either unfilled or filled by teachers not fully certified for their assignments, roughly one in eight nationally. The report explains that shortages reflect both fewer people entering teaching and teachers leaving the profession, with attrition accounting for a large share of annual teacher demand. It identifies particularly widespread shortages in special education, science and maths, and describes possible effects on pupils, including larger classes, cancelled courses and greater reliance on underprepared or substitute teachers. The figures are estimates based on the latest state-level data available to the institute.</w:t>
      </w:r>
      <w:r/>
    </w:p>
    <w:p>
      <w:pPr>
        <w:pStyle w:val="ListNumber"/>
        <w:spacing w:line="240" w:lineRule="auto"/>
        <w:ind w:left="720"/>
      </w:pPr>
      <w:r/>
      <w:hyperlink r:id="rId12">
        <w:r>
          <w:rPr>
            <w:color w:val="0000EE"/>
            <w:u w:val="single"/>
          </w:rPr>
          <w:t>https://codes.ohio.gov/ohio-revised-code/section-3313.473</w:t>
        </w:r>
      </w:hyperlink>
      <w:r>
        <w:t xml:space="preserve"> - This official Ohio Revised Code section sets requirements for school-district policies on parental notification, student wellbeing and health services. It requires districts to notify parents about substantial changes in services or monitoring relating to a student’s mental, emotional or physical health, and bars staff from encouraging students to withhold such information from parents. It also requires procedures for parental authorisation of certain school health-care services and restricts sexuality-content instruction in kindergarten to third grade. The section defines a student’s wellbeing to include requests to identify as a gender different from biological sex. It also lists privacy, court-order and other exceptions, so the statute should be read in full rather than reduced to a blanket disclosure rule.</w:t>
      </w:r>
      <w:r/>
    </w:p>
    <w:p>
      <w:pPr>
        <w:pStyle w:val="ListNumber"/>
        <w:spacing w:line="240" w:lineRule="auto"/>
        <w:ind w:left="720"/>
      </w:pPr>
      <w:r/>
      <w:hyperlink r:id="rId13">
        <w:r>
          <w:rPr>
            <w:color w:val="0000EE"/>
            <w:u w:val="single"/>
          </w:rPr>
          <w:t>https://www.flsenate.gov/Session/Bill/2022/1557/?StartTab=Analyses</w:t>
        </w:r>
      </w:hyperlink>
      <w:r>
        <w:t xml:space="preserve"> - The Florida Senate’s official page for House Bill 1557 summarises the 2022 Parental Rights in Education legislation. Its provisions include parental notification procedures concerning specified information about students’ mental, emotional or physical wellbeing, and limits on school policies that discourage parental involvement. The summary also notes restrictions on classroom discussion of sexual orientation or gender identity at certain grade levels, requirements concerning notification about school health services, and legal remedies available to parents. This legislative record provides a primary-source account of the bill’s provisions and is useful for checking the article’s description of Florida’s law. It summarises the legislation; readers seeking precise legal application should consult the enacted statutory text and relevant court decisions.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who-has-the-most-to-lose-if-pushes-teachers-back-into-the-closet-your-child/" TargetMode="External"/><Relationship Id="rId10" Type="http://schemas.openxmlformats.org/officeDocument/2006/relationships/hyperlink" Target="https://www.thetrevorproject.org/research-briefs/the-relationship-between-caring-teachers-and-the-mental-health-of-lgbtq-students/" TargetMode="External"/><Relationship Id="rId11" Type="http://schemas.openxmlformats.org/officeDocument/2006/relationships/hyperlink" Target="https://www.whitehouse.gov/presidential-actions/2025/01/ending-radical-indoctrination-in-k-12-schooling/" TargetMode="External"/><Relationship Id="rId12" Type="http://schemas.openxmlformats.org/officeDocument/2006/relationships/hyperlink" Target="https://codes.ohio.gov/ohio-revised-code/section-3313.473" TargetMode="External"/><Relationship Id="rId13" Type="http://schemas.openxmlformats.org/officeDocument/2006/relationships/hyperlink" Target="https://www.flsenate.gov/Session/Bill/2022/1557/?StartTab=Analyses" TargetMode="External"/><Relationship Id="rId14" Type="http://schemas.openxmlformats.org/officeDocument/2006/relationships/hyperlink" Target="https://learningpolicyinstitute.org/product/overview-teacher-shortages-2025-factshe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