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Book Bans in US Libraries Make Banned Books Week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librarians and authors are preparing for Banned Books Week, as fresh figures reveal the scale of challenges to books in the United States. The American Library Association’s latest list includes young adult novels, memoirs and classics, while its wider report points to a growing fight over whose stories remain easy to find.</w:t>
      </w:r>
      <w:r/>
    </w:p>
    <w:p>
      <w:pPr>
        <w:pStyle w:val="Heading2"/>
      </w:pPr>
      <w:r>
        <w:t>Book challenges remain close to a record</w:t>
      </w:r>
      <w:r/>
    </w:p>
    <w:p>
      <w:r/>
      <w:r>
        <w:t>The American Library Association recorded 4,235 unique titles challenged in 2025, only five fewer than its highest total, set in 2023. The figure comes from the association’s latest survey of efforts to restrict books in libraries and schools. (ALA)</w:t>
      </w:r>
      <w:r/>
    </w:p>
    <w:p>
      <w:r/>
      <w:r>
        <w:t>The distinction matters: a challenge is an attempt to remove a book or limit access to it; a ban means the material has been removed. Both can narrow what readers are able to discover, but they describe different stages of that process. (ALA)</w:t>
      </w:r>
      <w:r/>
    </w:p>
    <w:p>
      <w:pPr>
        <w:pStyle w:val="Heading2"/>
      </w:pPr>
      <w:r>
        <w:t>Which books are facing pressure?</w:t>
      </w:r>
      <w:r/>
    </w:p>
    <w:p>
      <w:r/>
      <w:r>
        <w:t xml:space="preserve">The ALA’s 2025 list includes </w:t>
      </w:r>
      <w:r>
        <w:rPr>
          <w:i/>
        </w:rPr>
        <w:t>Sold</w:t>
      </w:r>
      <w:r>
        <w:t xml:space="preserve"> by Patricia McCormick, </w:t>
      </w:r>
      <w:r>
        <w:rPr>
          <w:i/>
        </w:rPr>
        <w:t>The Perks of Being a Wallflower</w:t>
      </w:r>
      <w:r>
        <w:t xml:space="preserve"> by Stephen Chbosky and Maia Kobabe’s graphic memoir </w:t>
      </w:r>
      <w:r>
        <w:rPr>
          <w:i/>
        </w:rPr>
        <w:t>Gender Queer</w:t>
      </w:r>
      <w:r>
        <w:t xml:space="preserve">. Other titles include </w:t>
      </w:r>
      <w:r>
        <w:rPr>
          <w:i/>
        </w:rPr>
        <w:t>A Clockwork Orange</w:t>
      </w:r>
      <w:r>
        <w:t xml:space="preserve">, </w:t>
      </w:r>
      <w:r>
        <w:rPr>
          <w:i/>
        </w:rPr>
        <w:t>Looking for Alaska</w:t>
      </w:r>
      <w:r>
        <w:t xml:space="preserve"> and Sarah J. Maas’s </w:t>
      </w:r>
      <w:r>
        <w:rPr>
          <w:i/>
        </w:rPr>
        <w:t>A Court of Thorns and Roses</w:t>
      </w:r>
      <w:r>
        <w:t>. (ALA)</w:t>
      </w:r>
      <w:r/>
    </w:p>
    <w:p>
      <w:r/>
      <w:r>
        <w:t>The range is striking: contemporary young adult fiction sits alongside established adult literature. In its report, the ALA says 40 per cent of the challenged titles represent the lived experiences of LGBTQIA+ people and people of colour. (ALA)</w:t>
      </w:r>
      <w:r/>
    </w:p>
    <w:p>
      <w:r/>
      <w:r>
        <w:t>That mix is one reason book challenges aren’t simply a debate about age ratings or shelf placement. They can also shape which experiences young readers encounter in a school or public library. (ALA)</w:t>
      </w:r>
      <w:r/>
    </w:p>
    <w:p>
      <w:pPr>
        <w:pStyle w:val="Heading2"/>
      </w:pPr>
      <w:r>
        <w:t>Who is behind the challenges?</w:t>
      </w:r>
      <w:r/>
    </w:p>
    <w:p>
      <w:r/>
      <w:r>
        <w:t>The ALA says fewer than 3 per cent of challenges in 2025 came from individual parents, while 92 per cent originated with pressure groups, government officials and decision-makers. Those figures challenge the familiar picture of book disputes as mostly local, one-off complaints. (ALA)</w:t>
      </w:r>
      <w:r/>
    </w:p>
    <w:p>
      <w:r/>
      <w:r>
        <w:t>PEN America has separately tracked nearly 12,000 book bans in US public schools during the 2025-26 school year. Its research highlights how restrictions can spread across districts and states, rather than remaining isolated incidents. (PEN America)</w:t>
      </w:r>
      <w:r/>
    </w:p>
    <w:p>
      <w:r/>
      <w:r>
        <w:t>The numbers use different measures: the ALA tracks challenged titles, while PEN America counts school book bans. They shouldn’t be treated as a direct comparison, but together they show why advocates are watching both libraries and schools. (ALA; PEN America)</w:t>
      </w:r>
      <w:r/>
    </w:p>
    <w:p>
      <w:pPr>
        <w:pStyle w:val="Heading2"/>
      </w:pPr>
      <w:r>
        <w:t>Banned Books Week puts the focus on access</w:t>
      </w:r>
      <w:r/>
    </w:p>
    <w:p>
      <w:r/>
      <w:r>
        <w:t>Banned Books Week brings together librarians, educators, authors, publishers, booksellers and readers to draw attention to censorship and intellectual freedom. The 2026 event is scheduled for 4 to 10 October, with the theme “Let Books Be. Protect the Freedom to Read.” (ALA)</w:t>
      </w:r>
      <w:r/>
    </w:p>
    <w:p>
      <w:r/>
      <w:r>
        <w:t xml:space="preserve">The week’s history also reaches back well beyond today’s lists. Walt Whitman’s </w:t>
      </w:r>
      <w:r>
        <w:rPr>
          <w:i/>
        </w:rPr>
        <w:t>Calamus</w:t>
      </w:r>
      <w:r>
        <w:t xml:space="preserve"> poems, exploring intimate affection between men, were among works that drew official disapproval in the nineteenth century; Harvard reportedly kept the collection in a locked cabinet. (Calamus Project)</w:t>
      </w:r>
      <w:r/>
    </w:p>
    <w:p>
      <w:r/>
      <w:r>
        <w:t>And the wider history is sobering. The United States Holocaust Memorial Museum documents how Nazi authorities and supporters burned books in 1933, targeting Jewish writers and others whose ideas they rejected. (USHMM)</w:t>
      </w:r>
      <w:r/>
    </w:p>
    <w:p>
      <w:pPr>
        <w:pStyle w:val="Heading2"/>
      </w:pPr>
      <w:r>
        <w:t>A useful moment to visit your library</w:t>
      </w:r>
      <w:r/>
    </w:p>
    <w:p>
      <w:r/>
      <w:r>
        <w:t>If a title on the list catches your eye, ask your local library whether it’s available, and check its catalogue before making a trip. Libraries can also explain how they handle challenges and how readers can take part in public discussions about access. (ALA)</w:t>
      </w:r>
      <w:r/>
    </w:p>
    <w:p>
      <w:r/>
      <w:r>
        <w:t>In a 1953 address at Dartmouth, President Dwight D. Eisenhower defended the right to read and hear ideas that people may disagree with. His words still offer a simple test: a free society should be able to encounter difficult ideas, not hide them from view. (Dartmouth)</w:t>
      </w:r>
      <w:r/>
    </w:p>
    <w:p>
      <w:r/>
      <w:r>
        <w:t>Banned Books Week is a reminder that the freedom to read depends on keeping books within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Paragraph 11: </w:t>
      </w:r>
      <w:hyperlink r:id="rId13">
        <w:r>
          <w:rPr>
            <w:color w:val="0000EE"/>
            <w:u w:val="single"/>
          </w:rPr>
          <w:t>[5]</w:t>
        </w:r>
      </w:hyperlink>
      <w:r>
        <w:t xml:space="preserve">- Paragraph 12: </w:t>
      </w:r>
      <w:hyperlink r:id="rId14">
        <w:r>
          <w:rPr>
            <w:color w:val="0000EE"/>
            <w:u w:val="single"/>
          </w:rPr>
          <w:t>[6]</w:t>
        </w:r>
      </w:hyperlink>
      <w:r>
        <w:t xml:space="preserve">- Paragraph 13: </w:t>
      </w:r>
      <w:hyperlink r:id="rId12">
        <w:r>
          <w:rPr>
            <w:color w:val="0000EE"/>
            <w:u w:val="single"/>
          </w:rPr>
          <w:t>[4]</w:t>
        </w:r>
      </w:hyperlink>
      <w:r>
        <w:t xml:space="preserve">- Paragraph 14: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https://goodmenproject.com/featured-content/banned-books-week-has-even-more-urgency-today/</w:t>
        </w:r>
      </w:hyperlink>
      <w:r>
        <w:t xml:space="preserve"> - Please view link - unable to able to access data</w:t>
      </w:r>
      <w:r/>
    </w:p>
    <w:p>
      <w:pPr>
        <w:pStyle w:val="ListNumber"/>
        <w:spacing w:line="240" w:lineRule="auto"/>
        <w:ind w:left="720"/>
      </w:pPr>
      <w:r/>
      <w:hyperlink r:id="rId10">
        <w:r>
          <w:rPr>
            <w:color w:val="0000EE"/>
            <w:u w:val="single"/>
          </w:rPr>
          <w:t>https://www.ala.org/news/2026/04/american-library-association-releases-2025-most-challenged-books-list-national-library</w:t>
        </w:r>
      </w:hyperlink>
      <w:r>
        <w:t xml:space="preserve"> - The American Library Association’s announcement presents its Top 11 Most Challenged Books of 2025 as part of the 2026 State of America’s Libraries Report. It says the Office for Intellectual Freedom recorded 4,235 unique titles challenged during 2025, the second-highest figure documented by the association, after 4,240 in 2023. The announcement names the books and describes the concerns behind challenges, including material about LGBTQIA+ people, race, sexuality and violence. It offers a primary-source check on the article’s rankings and overall challenge count, while distinguishing challenges reported to the association from proven removals in every library or school.</w:t>
      </w:r>
      <w:r/>
    </w:p>
    <w:p>
      <w:pPr>
        <w:pStyle w:val="ListNumber"/>
        <w:spacing w:line="240" w:lineRule="auto"/>
        <w:ind w:left="720"/>
      </w:pPr>
      <w:r/>
      <w:hyperlink r:id="rId11">
        <w:r>
          <w:rPr>
            <w:color w:val="0000EE"/>
            <w:u w:val="single"/>
          </w:rPr>
          <w:t>https://pen.org/report/book-bans-spotlight-2026/</w:t>
        </w:r>
      </w:hyperlink>
      <w:r>
        <w:t xml:space="preserve"> - PEN America’s report examines school book bans during the 2025–2026 school year. It records 11,982 bans and 7,370 unique titles, and describes how legislation, organised groups and government leaders contributed to restrictions. The report says Texas accounted for more than 8,000 bans, with the effects of its 2025 SB 13 law visible in district decisions. It also analyses the genres and intended age groups of affected titles. This is a useful source for the article’s claims about school bans, Texas and organised pressure, though PEN America’s tracking of school bans is distinct from the American Library Association’s library challenge data.</w:t>
      </w:r>
      <w:r/>
    </w:p>
    <w:p>
      <w:pPr>
        <w:pStyle w:val="ListNumber"/>
        <w:spacing w:line="240" w:lineRule="auto"/>
        <w:ind w:left="720"/>
      </w:pPr>
      <w:r/>
      <w:hyperlink r:id="rId12">
        <w:r>
          <w:rPr>
            <w:color w:val="0000EE"/>
            <w:u w:val="single"/>
          </w:rPr>
          <w:t>https://www.ala.org/bbooks/banned</w:t>
        </w:r>
      </w:hyperlink>
      <w:r>
        <w:t xml:space="preserve"> - The American Library Association’s Banned Books Week page confirms that the 2026 observance runs from 4 to 10 October and uses the theme “Let Books Be. Protect the Freedom to Read.” It explains the campaign’s purpose and describes the coalition of organisations promoting awareness of censorship attempts and the freedom to read. The page also outlines campaign artwork, community activities and ways to participate. It supports the article’s stated dates and theme and provides context for Banned Books Week as a public intellectual-freedom initiative. The page is maintained by the association that leads the annual observance and its Office for Intellectual Freedom.</w:t>
      </w:r>
      <w:r/>
    </w:p>
    <w:p>
      <w:pPr>
        <w:pStyle w:val="ListNumber"/>
        <w:spacing w:line="240" w:lineRule="auto"/>
        <w:ind w:left="720"/>
      </w:pPr>
      <w:r/>
      <w:hyperlink r:id="rId13">
        <w:r>
          <w:rPr>
            <w:color w:val="0000EE"/>
            <w:u w:val="single"/>
          </w:rPr>
          <w:t>https://www.calamusproject.org/introduction</w:t>
        </w:r>
      </w:hyperlink>
      <w:r>
        <w:t xml:space="preserve"> - This introduction describes Walt Whitman’s Calamus sequence, its appearance in the 1860 third edition of Leaves of Grass and its subjects of male friendship, affection and desire. It notes that the original grouping contained 45 poems and discusses the sequence’s evolving arrangement in later editions. The author explains the poems’ erotic dimensions and connects Whitman’s passionate comradeship with his political vision of American democracy. The page supports the article’s discussion of Calamus, while clarifying that poem counts and organisation changed between editions. It provides historical and literary context, including the calamus plant and Whitman’s attempt to link intimate bonds with national unity.</w:t>
      </w:r>
      <w:r/>
    </w:p>
    <w:p>
      <w:pPr>
        <w:pStyle w:val="ListNumber"/>
        <w:spacing w:line="240" w:lineRule="auto"/>
        <w:ind w:left="720"/>
      </w:pPr>
      <w:r/>
      <w:hyperlink r:id="rId14">
        <w:r>
          <w:rPr>
            <w:color w:val="0000EE"/>
            <w:u w:val="single"/>
          </w:rPr>
          <w:t>https://encyclopedia.ushmm.org/content/en/article/book-burning</w:t>
        </w:r>
      </w:hyperlink>
      <w:r>
        <w:t xml:space="preserve"> - The United States Holocaust Memorial Museum explains the Nazi-era book burnings organised by pro-Nazi university students in Germany in May 1933. It identifies the targeted works as books labelled “un-German”, including writings by Jewish authors, pacifists and left-wing political thinkers. The article describes the students’ role, the involvement of Nazi officials and the events’ broader ideological purpose. It gives historical background for the article’s comparison between censorship and authoritarianism. The museum’s account distinguishes student organisation from direct government organisation while noting the regime’s clear support. It is a reliable source for the period, participants and political context of the book burnings.</w:t>
      </w:r>
      <w:r/>
    </w:p>
    <w:p>
      <w:pPr>
        <w:pStyle w:val="ListNumber"/>
        <w:spacing w:line="240" w:lineRule="auto"/>
        <w:ind w:left="720"/>
      </w:pPr>
      <w:r/>
      <w:hyperlink r:id="rId15">
        <w:r>
          <w:rPr>
            <w:color w:val="0000EE"/>
            <w:u w:val="single"/>
          </w:rPr>
          <w:t>https://home.dartmouth.edu/news/president-eisenhowers-commencement-address</w:t>
        </w:r>
      </w:hyperlink>
      <w:r>
        <w:t xml:space="preserve"> - Dartmouth’s account revisits President Dwight D. Eisenhower’s commencement appearance on 14 June 1953 and his warning to graduates not to “join the book burners”. It provides the occasion and historical setting for his remarks defending access to books and ideas, including those that challenge prevailing beliefs. The page recounts the response to the speech and its enduring place in Dartmouth’s history. It supports the article’s reference to Eisenhower’s address and the date it was delivered. The account is published by the college where the speech took place, making it a direct institutional source for the commencement event and its significance.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banned-books-week-has-even-more-urgency-today/" TargetMode="External"/><Relationship Id="rId10" Type="http://schemas.openxmlformats.org/officeDocument/2006/relationships/hyperlink" Target="https://www.ala.org/news/2026/04/american-library-association-releases-2025-most-challenged-books-list-national-library" TargetMode="External"/><Relationship Id="rId11" Type="http://schemas.openxmlformats.org/officeDocument/2006/relationships/hyperlink" Target="https://pen.org/report/book-bans-spotlight-2026/" TargetMode="External"/><Relationship Id="rId12" Type="http://schemas.openxmlformats.org/officeDocument/2006/relationships/hyperlink" Target="https://www.ala.org/bbooks/banned" TargetMode="External"/><Relationship Id="rId13" Type="http://schemas.openxmlformats.org/officeDocument/2006/relationships/hyperlink" Target="https://www.calamusproject.org/introduction" TargetMode="External"/><Relationship Id="rId14" Type="http://schemas.openxmlformats.org/officeDocument/2006/relationships/hyperlink" Target="https://encyclopedia.ushmm.org/content/en/article/book-burning" TargetMode="External"/><Relationship Id="rId15" Type="http://schemas.openxmlformats.org/officeDocument/2006/relationships/hyperlink" Target="https://home.dartmouth.edu/news/president-eisenhowers-commencement-addr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